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91" w:rsidRPr="000E5661" w:rsidRDefault="00A21091" w:rsidP="00A21091">
      <w:pPr>
        <w:widowControl/>
        <w:autoSpaceDE w:val="0"/>
        <w:autoSpaceDN w:val="0"/>
        <w:jc w:val="center"/>
        <w:textAlignment w:val="bottom"/>
        <w:rPr>
          <w:rFonts w:asciiTheme="majorEastAsia" w:eastAsiaTheme="majorEastAsia" w:hAnsiTheme="majorEastAsia"/>
          <w:b/>
          <w:sz w:val="28"/>
        </w:rPr>
      </w:pPr>
      <w:r w:rsidRPr="000E5661">
        <w:rPr>
          <w:rFonts w:asciiTheme="majorEastAsia" w:eastAsiaTheme="majorEastAsia" w:hAnsiTheme="majorEastAsia" w:hint="eastAsia"/>
          <w:b/>
          <w:sz w:val="28"/>
        </w:rPr>
        <w:t>理工</w:t>
      </w:r>
      <w:r w:rsidR="00A13F2E">
        <w:rPr>
          <w:rFonts w:asciiTheme="majorEastAsia" w:eastAsiaTheme="majorEastAsia" w:hAnsiTheme="majorEastAsia" w:hint="eastAsia"/>
          <w:b/>
          <w:sz w:val="28"/>
        </w:rPr>
        <w:t>総</w:t>
      </w:r>
      <w:r w:rsidRPr="000E5661">
        <w:rPr>
          <w:rFonts w:asciiTheme="majorEastAsia" w:eastAsiaTheme="majorEastAsia" w:hAnsiTheme="majorEastAsia" w:hint="eastAsia"/>
          <w:b/>
          <w:sz w:val="28"/>
        </w:rPr>
        <w:t>研年次報告　ASTE　作成要領</w:t>
      </w:r>
    </w:p>
    <w:p w:rsidR="00A21091" w:rsidRPr="00C7011E" w:rsidRDefault="00A21091" w:rsidP="00A21091">
      <w:pPr>
        <w:widowControl/>
        <w:autoSpaceDE w:val="0"/>
        <w:autoSpaceDN w:val="0"/>
        <w:spacing w:before="120"/>
        <w:textAlignment w:val="bottom"/>
        <w:rPr>
          <w:rFonts w:ascii="ＭＳ ゴシック" w:eastAsia="ＭＳ ゴシック" w:hAnsi="ＭＳ ゴシック"/>
          <w:b/>
          <w:sz w:val="22"/>
          <w:szCs w:val="22"/>
        </w:rPr>
      </w:pPr>
      <w:r w:rsidRPr="00C7011E">
        <w:rPr>
          <w:rFonts w:ascii="ＭＳ ゴシック" w:eastAsia="ＭＳ ゴシック" w:hAnsi="ＭＳ ゴシック" w:hint="eastAsia"/>
          <w:b/>
          <w:sz w:val="22"/>
          <w:szCs w:val="22"/>
        </w:rPr>
        <w:t>＜ASTE原稿フォーマットのダウンロードについて＞</w:t>
      </w:r>
    </w:p>
    <w:p w:rsidR="00A21091" w:rsidRPr="00FF7B6D" w:rsidRDefault="00A21091" w:rsidP="00A21091">
      <w:pPr>
        <w:widowControl/>
        <w:autoSpaceDE w:val="0"/>
        <w:autoSpaceDN w:val="0"/>
        <w:spacing w:before="120"/>
        <w:ind w:left="210" w:hangingChars="100" w:hanging="210"/>
        <w:textAlignment w:val="bottom"/>
        <w:rPr>
          <w:rFonts w:hAnsi="ＭＳ 明朝"/>
          <w:sz w:val="22"/>
          <w:u w:val="single"/>
        </w:rPr>
      </w:pPr>
      <w:r w:rsidRPr="003C4A6D">
        <w:rPr>
          <w:rFonts w:hAnsi="ＭＳ 明朝" w:hint="eastAsia"/>
        </w:rPr>
        <w:t>※</w:t>
      </w:r>
      <w:r w:rsidR="000E5661">
        <w:rPr>
          <w:rFonts w:hAnsi="ＭＳ 明朝" w:hint="eastAsia"/>
          <w:sz w:val="22"/>
        </w:rPr>
        <w:t>理工</w:t>
      </w:r>
      <w:r w:rsidR="00A13F2E">
        <w:rPr>
          <w:rFonts w:hAnsi="ＭＳ 明朝" w:hint="eastAsia"/>
          <w:sz w:val="22"/>
        </w:rPr>
        <w:t>総</w:t>
      </w:r>
      <w:r w:rsidR="000E5661">
        <w:rPr>
          <w:rFonts w:hAnsi="ＭＳ 明朝" w:hint="eastAsia"/>
          <w:sz w:val="22"/>
        </w:rPr>
        <w:t>研ホームページ「申請</w:t>
      </w:r>
      <w:r w:rsidRPr="003C4A6D">
        <w:rPr>
          <w:rFonts w:hAnsi="ＭＳ 明朝" w:hint="eastAsia"/>
          <w:sz w:val="22"/>
        </w:rPr>
        <w:t>フォーム</w:t>
      </w:r>
      <w:r w:rsidR="000E5661">
        <w:rPr>
          <w:rFonts w:hAnsi="ＭＳ 明朝" w:hint="eastAsia"/>
          <w:sz w:val="22"/>
        </w:rPr>
        <w:t>集</w:t>
      </w:r>
      <w:r w:rsidRPr="003C4A6D">
        <w:rPr>
          <w:rFonts w:hAnsi="ＭＳ 明朝" w:hint="eastAsia"/>
          <w:sz w:val="22"/>
        </w:rPr>
        <w:t>」より、理工</w:t>
      </w:r>
      <w:r w:rsidR="00A13F2E">
        <w:rPr>
          <w:rFonts w:hAnsi="ＭＳ 明朝" w:hint="eastAsia"/>
          <w:sz w:val="22"/>
        </w:rPr>
        <w:t>総</w:t>
      </w:r>
      <w:r w:rsidRPr="003C4A6D">
        <w:rPr>
          <w:rFonts w:hAnsi="ＭＳ 明朝" w:hint="eastAsia"/>
          <w:sz w:val="22"/>
        </w:rPr>
        <w:t>研「年次報告</w:t>
      </w:r>
      <w:r w:rsidRPr="003C4A6D">
        <w:rPr>
          <w:rFonts w:hAnsi="ＭＳ 明朝" w:hint="eastAsia"/>
          <w:sz w:val="22"/>
        </w:rPr>
        <w:t>ASTE</w:t>
      </w:r>
      <w:r w:rsidR="00101C0E">
        <w:rPr>
          <w:rFonts w:hAnsi="ＭＳ 明朝" w:hint="eastAsia"/>
          <w:sz w:val="22"/>
        </w:rPr>
        <w:t>」原稿テンプレートをダウンロードしてください。</w:t>
      </w:r>
      <w:r w:rsidR="00101C0E" w:rsidRPr="00FF7B6D">
        <w:rPr>
          <w:rFonts w:hAnsi="ＭＳ 明朝" w:hint="eastAsia"/>
          <w:b/>
          <w:sz w:val="22"/>
          <w:highlight w:val="yellow"/>
        </w:rPr>
        <w:t>なお、余白、文字数</w:t>
      </w:r>
      <w:r w:rsidR="00351DCA" w:rsidRPr="00FF7B6D">
        <w:rPr>
          <w:rFonts w:hAnsi="ＭＳ 明朝" w:hint="eastAsia"/>
          <w:b/>
          <w:sz w:val="22"/>
          <w:highlight w:val="yellow"/>
        </w:rPr>
        <w:t>、ヘッダー、フッダー</w:t>
      </w:r>
      <w:r w:rsidR="00101C0E" w:rsidRPr="00FF7B6D">
        <w:rPr>
          <w:rFonts w:hAnsi="ＭＳ 明朝" w:hint="eastAsia"/>
          <w:b/>
          <w:sz w:val="22"/>
          <w:highlight w:val="yellow"/>
        </w:rPr>
        <w:t>等を</w:t>
      </w:r>
      <w:r w:rsidR="000E5661" w:rsidRPr="00FF7B6D">
        <w:rPr>
          <w:rFonts w:hAnsi="ＭＳ 明朝" w:hint="eastAsia"/>
          <w:b/>
          <w:sz w:val="22"/>
          <w:highlight w:val="yellow"/>
        </w:rPr>
        <w:t>下記のように</w:t>
      </w:r>
      <w:r w:rsidR="00101C0E" w:rsidRPr="00FF7B6D">
        <w:rPr>
          <w:rFonts w:hAnsi="ＭＳ 明朝" w:hint="eastAsia"/>
          <w:b/>
          <w:sz w:val="22"/>
          <w:highlight w:val="yellow"/>
        </w:rPr>
        <w:t>指定してありますので、</w:t>
      </w:r>
      <w:r w:rsidR="00054BA0" w:rsidRPr="00FF7B6D">
        <w:rPr>
          <w:rFonts w:hAnsi="ＭＳ 明朝" w:hint="eastAsia"/>
          <w:b/>
          <w:sz w:val="22"/>
          <w:highlight w:val="yellow"/>
          <w:u w:val="single"/>
        </w:rPr>
        <w:t>ページ設定の</w:t>
      </w:r>
      <w:r w:rsidR="00101C0E" w:rsidRPr="00FF7B6D">
        <w:rPr>
          <w:rFonts w:hAnsi="ＭＳ 明朝" w:hint="eastAsia"/>
          <w:b/>
          <w:sz w:val="22"/>
          <w:highlight w:val="yellow"/>
          <w:u w:val="single"/>
        </w:rPr>
        <w:t>変更がないようにご使用ください。</w:t>
      </w:r>
    </w:p>
    <w:p w:rsidR="00A21091" w:rsidRPr="003C4A6D" w:rsidRDefault="00A21091" w:rsidP="00A21091">
      <w:pPr>
        <w:pStyle w:val="a3"/>
        <w:widowControl/>
        <w:tabs>
          <w:tab w:val="clear" w:pos="4252"/>
          <w:tab w:val="clear" w:pos="8504"/>
        </w:tabs>
        <w:autoSpaceDE w:val="0"/>
        <w:autoSpaceDN w:val="0"/>
        <w:spacing w:before="120"/>
        <w:textAlignment w:val="bottom"/>
        <w:rPr>
          <w:rFonts w:hAnsi="ＭＳ 明朝"/>
        </w:rPr>
      </w:pPr>
    </w:p>
    <w:p w:rsidR="00A21091" w:rsidRPr="00C7011E" w:rsidRDefault="007E6107" w:rsidP="00A21091">
      <w:pPr>
        <w:pStyle w:val="a3"/>
        <w:widowControl/>
        <w:tabs>
          <w:tab w:val="clear" w:pos="4252"/>
          <w:tab w:val="clear" w:pos="8504"/>
        </w:tabs>
        <w:autoSpaceDE w:val="0"/>
        <w:autoSpaceDN w:val="0"/>
        <w:spacing w:before="120"/>
        <w:textAlignment w:val="bottom"/>
        <w:rPr>
          <w:rFonts w:ascii="ＭＳ ゴシック" w:eastAsia="ＭＳ ゴシック" w:hAnsi="ＭＳ ゴシック"/>
          <w:b/>
          <w:sz w:val="22"/>
          <w:szCs w:val="22"/>
        </w:rPr>
      </w:pPr>
      <w:r w:rsidRPr="00C7011E">
        <w:rPr>
          <w:rFonts w:ascii="ＭＳ ゴシック" w:eastAsia="ＭＳ ゴシック" w:hAnsi="ＭＳ ゴシック" w:hint="eastAsia"/>
          <w:b/>
          <w:sz w:val="22"/>
          <w:szCs w:val="22"/>
        </w:rPr>
        <w:t>＜</w:t>
      </w:r>
      <w:r w:rsidR="00A21091" w:rsidRPr="00C7011E">
        <w:rPr>
          <w:rFonts w:ascii="ＭＳ ゴシック" w:eastAsia="ＭＳ ゴシック" w:hAnsi="ＭＳ ゴシック" w:hint="eastAsia"/>
          <w:b/>
          <w:sz w:val="22"/>
          <w:szCs w:val="22"/>
        </w:rPr>
        <w:t>原稿について</w:t>
      </w:r>
      <w:r w:rsidRPr="00C7011E">
        <w:rPr>
          <w:rFonts w:ascii="ＭＳ ゴシック" w:eastAsia="ＭＳ ゴシック" w:hAnsi="ＭＳ ゴシック" w:hint="eastAsia"/>
          <w:b/>
          <w:sz w:val="22"/>
          <w:szCs w:val="22"/>
        </w:rPr>
        <w:t>＞</w:t>
      </w:r>
    </w:p>
    <w:p w:rsidR="00A21091" w:rsidRPr="00C7011E" w:rsidRDefault="00A21091" w:rsidP="00A21091">
      <w:pPr>
        <w:widowControl/>
        <w:autoSpaceDE w:val="0"/>
        <w:autoSpaceDN w:val="0"/>
        <w:spacing w:before="120"/>
        <w:textAlignment w:val="bottom"/>
        <w:rPr>
          <w:rFonts w:ascii="ＭＳ ゴシック" w:eastAsia="ＭＳ ゴシック" w:hAnsi="ＭＳ ゴシック"/>
          <w:b/>
          <w:sz w:val="22"/>
          <w:szCs w:val="22"/>
        </w:rPr>
      </w:pPr>
      <w:r w:rsidRPr="00C7011E">
        <w:rPr>
          <w:rFonts w:ascii="ＭＳ ゴシック" w:eastAsia="ＭＳ ゴシック" w:hAnsi="ＭＳ ゴシック" w:hint="eastAsia"/>
          <w:b/>
          <w:sz w:val="22"/>
          <w:szCs w:val="22"/>
        </w:rPr>
        <w:t>1）WORDによる原稿執筆時のページ設定</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1984"/>
        <w:gridCol w:w="2268"/>
      </w:tblGrid>
      <w:tr w:rsidR="001300B5" w:rsidRPr="00C7011E" w:rsidTr="00A60D96">
        <w:trPr>
          <w:trHeight w:val="397"/>
        </w:trPr>
        <w:tc>
          <w:tcPr>
            <w:tcW w:w="1984" w:type="dxa"/>
            <w:shd w:val="clear" w:color="auto" w:fill="auto"/>
          </w:tcPr>
          <w:p w:rsidR="001300B5" w:rsidRPr="00C7011E" w:rsidRDefault="001300B5" w:rsidP="00C7011E">
            <w:pPr>
              <w:widowControl/>
              <w:autoSpaceDE w:val="0"/>
              <w:autoSpaceDN w:val="0"/>
              <w:spacing w:before="120"/>
              <w:textAlignment w:val="bottom"/>
              <w:rPr>
                <w:rFonts w:hAnsi="ＭＳ 明朝"/>
                <w:szCs w:val="21"/>
              </w:rPr>
            </w:pPr>
            <w:r w:rsidRPr="00C7011E">
              <w:rPr>
                <w:rFonts w:hAnsi="ＭＳ 明朝" w:hint="eastAsia"/>
                <w:szCs w:val="21"/>
              </w:rPr>
              <w:t>文字数</w:t>
            </w:r>
          </w:p>
        </w:tc>
        <w:tc>
          <w:tcPr>
            <w:tcW w:w="2268" w:type="dxa"/>
            <w:shd w:val="clear" w:color="auto" w:fill="auto"/>
          </w:tcPr>
          <w:p w:rsidR="001300B5" w:rsidRPr="00C7011E" w:rsidRDefault="001300B5" w:rsidP="00C7011E">
            <w:pPr>
              <w:widowControl/>
              <w:autoSpaceDE w:val="0"/>
              <w:autoSpaceDN w:val="0"/>
              <w:spacing w:before="120"/>
              <w:textAlignment w:val="bottom"/>
              <w:rPr>
                <w:rFonts w:hAnsi="ＭＳ 明朝"/>
                <w:szCs w:val="21"/>
              </w:rPr>
            </w:pPr>
            <w:r w:rsidRPr="00C7011E">
              <w:rPr>
                <w:rFonts w:hAnsi="ＭＳ 明朝" w:hint="eastAsia"/>
                <w:szCs w:val="21"/>
              </w:rPr>
              <w:t>46</w:t>
            </w:r>
          </w:p>
        </w:tc>
        <w:tc>
          <w:tcPr>
            <w:tcW w:w="1984" w:type="dxa"/>
            <w:shd w:val="clear" w:color="auto" w:fill="auto"/>
          </w:tcPr>
          <w:p w:rsidR="001300B5"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行数</w:t>
            </w:r>
          </w:p>
        </w:tc>
        <w:tc>
          <w:tcPr>
            <w:tcW w:w="2268" w:type="dxa"/>
            <w:shd w:val="clear" w:color="auto" w:fill="auto"/>
          </w:tcPr>
          <w:p w:rsidR="001300B5"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41</w:t>
            </w:r>
          </w:p>
        </w:tc>
      </w:tr>
      <w:tr w:rsidR="007E6107" w:rsidRPr="00C7011E" w:rsidTr="00A60D96">
        <w:tc>
          <w:tcPr>
            <w:tcW w:w="1984" w:type="dxa"/>
            <w:shd w:val="clear" w:color="auto" w:fill="auto"/>
          </w:tcPr>
          <w:p w:rsidR="007E6107"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字送り</w:t>
            </w:r>
          </w:p>
        </w:tc>
        <w:tc>
          <w:tcPr>
            <w:tcW w:w="2268" w:type="dxa"/>
            <w:shd w:val="clear" w:color="auto" w:fill="auto"/>
          </w:tcPr>
          <w:p w:rsidR="007E6107" w:rsidRPr="00C7011E" w:rsidRDefault="00101B6D" w:rsidP="00C7011E">
            <w:pPr>
              <w:widowControl/>
              <w:autoSpaceDE w:val="0"/>
              <w:autoSpaceDN w:val="0"/>
              <w:spacing w:before="120"/>
              <w:textAlignment w:val="bottom"/>
              <w:rPr>
                <w:rFonts w:hAnsi="ＭＳ 明朝"/>
                <w:szCs w:val="21"/>
              </w:rPr>
            </w:pPr>
            <w:r>
              <w:rPr>
                <w:rFonts w:hAnsi="ＭＳ 明朝" w:hint="eastAsia"/>
                <w:szCs w:val="21"/>
              </w:rPr>
              <w:t>10.</w:t>
            </w:r>
            <w:r w:rsidR="007E6107" w:rsidRPr="00C7011E">
              <w:rPr>
                <w:rFonts w:hAnsi="ＭＳ 明朝" w:hint="eastAsia"/>
                <w:szCs w:val="21"/>
              </w:rPr>
              <w:t>5pt</w:t>
            </w:r>
          </w:p>
        </w:tc>
        <w:tc>
          <w:tcPr>
            <w:tcW w:w="1984" w:type="dxa"/>
            <w:shd w:val="clear" w:color="auto" w:fill="auto"/>
          </w:tcPr>
          <w:p w:rsidR="007E6107"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行送り</w:t>
            </w:r>
          </w:p>
        </w:tc>
        <w:tc>
          <w:tcPr>
            <w:tcW w:w="2268" w:type="dxa"/>
            <w:shd w:val="clear" w:color="auto" w:fill="auto"/>
          </w:tcPr>
          <w:p w:rsidR="007E6107" w:rsidRPr="00C7011E" w:rsidRDefault="00101B6D" w:rsidP="00C7011E">
            <w:pPr>
              <w:widowControl/>
              <w:autoSpaceDE w:val="0"/>
              <w:autoSpaceDN w:val="0"/>
              <w:spacing w:before="120"/>
              <w:textAlignment w:val="bottom"/>
              <w:rPr>
                <w:rFonts w:hAnsi="ＭＳ 明朝"/>
                <w:szCs w:val="21"/>
              </w:rPr>
            </w:pPr>
            <w:r>
              <w:rPr>
                <w:rFonts w:hAnsi="ＭＳ 明朝" w:hint="eastAsia"/>
                <w:szCs w:val="21"/>
              </w:rPr>
              <w:t>16.</w:t>
            </w:r>
            <w:r w:rsidR="007E6107" w:rsidRPr="00C7011E">
              <w:rPr>
                <w:rFonts w:hAnsi="ＭＳ 明朝" w:hint="eastAsia"/>
                <w:szCs w:val="21"/>
              </w:rPr>
              <w:t>5pt</w:t>
            </w:r>
          </w:p>
        </w:tc>
      </w:tr>
      <w:tr w:rsidR="007E6107" w:rsidRPr="00C7011E" w:rsidTr="00A60D96">
        <w:tc>
          <w:tcPr>
            <w:tcW w:w="1984" w:type="dxa"/>
            <w:shd w:val="clear" w:color="auto" w:fill="auto"/>
          </w:tcPr>
          <w:p w:rsidR="007E6107"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フォントサイズ</w:t>
            </w:r>
          </w:p>
        </w:tc>
        <w:tc>
          <w:tcPr>
            <w:tcW w:w="2268" w:type="dxa"/>
            <w:shd w:val="clear" w:color="auto" w:fill="auto"/>
          </w:tcPr>
          <w:p w:rsidR="007E6107" w:rsidRPr="00C7011E" w:rsidRDefault="007E6107" w:rsidP="00C7011E">
            <w:pPr>
              <w:widowControl/>
              <w:autoSpaceDE w:val="0"/>
              <w:autoSpaceDN w:val="0"/>
              <w:spacing w:before="120"/>
              <w:textAlignment w:val="bottom"/>
              <w:rPr>
                <w:rFonts w:hAnsi="ＭＳ 明朝"/>
                <w:szCs w:val="21"/>
              </w:rPr>
            </w:pPr>
            <w:r w:rsidRPr="00C7011E">
              <w:rPr>
                <w:rFonts w:hAnsi="ＭＳ 明朝" w:hint="eastAsia"/>
                <w:szCs w:val="21"/>
              </w:rPr>
              <w:t>11</w:t>
            </w:r>
          </w:p>
        </w:tc>
        <w:tc>
          <w:tcPr>
            <w:tcW w:w="1984" w:type="dxa"/>
            <w:shd w:val="clear" w:color="auto" w:fill="auto"/>
          </w:tcPr>
          <w:p w:rsidR="007E6107" w:rsidRPr="00C7011E" w:rsidRDefault="007E6107" w:rsidP="00C7011E">
            <w:pPr>
              <w:widowControl/>
              <w:autoSpaceDE w:val="0"/>
              <w:autoSpaceDN w:val="0"/>
              <w:spacing w:before="120"/>
              <w:jc w:val="left"/>
              <w:textAlignment w:val="bottom"/>
              <w:rPr>
                <w:rFonts w:hAnsi="ＭＳ 明朝"/>
                <w:szCs w:val="21"/>
              </w:rPr>
            </w:pPr>
            <w:r w:rsidRPr="00C7011E">
              <w:rPr>
                <w:rFonts w:hAnsi="ＭＳ 明朝" w:hint="eastAsia"/>
                <w:szCs w:val="21"/>
              </w:rPr>
              <w:t>段数</w:t>
            </w:r>
          </w:p>
        </w:tc>
        <w:tc>
          <w:tcPr>
            <w:tcW w:w="2268" w:type="dxa"/>
            <w:shd w:val="clear" w:color="auto" w:fill="auto"/>
          </w:tcPr>
          <w:p w:rsidR="007E6107" w:rsidRPr="00C7011E" w:rsidRDefault="007E6107" w:rsidP="00C7011E">
            <w:pPr>
              <w:widowControl/>
              <w:autoSpaceDE w:val="0"/>
              <w:autoSpaceDN w:val="0"/>
              <w:spacing w:before="120"/>
              <w:jc w:val="left"/>
              <w:textAlignment w:val="bottom"/>
              <w:rPr>
                <w:rFonts w:hAnsi="ＭＳ 明朝"/>
                <w:szCs w:val="21"/>
              </w:rPr>
            </w:pPr>
            <w:r w:rsidRPr="00C7011E">
              <w:rPr>
                <w:rFonts w:hAnsi="ＭＳ 明朝" w:hint="eastAsia"/>
                <w:szCs w:val="21"/>
              </w:rPr>
              <w:t>1</w:t>
            </w:r>
          </w:p>
        </w:tc>
      </w:tr>
      <w:tr w:rsidR="00E10F7E" w:rsidRPr="00C7011E" w:rsidTr="00A60D96">
        <w:tc>
          <w:tcPr>
            <w:tcW w:w="1984" w:type="dxa"/>
            <w:shd w:val="clear" w:color="auto" w:fill="auto"/>
          </w:tcPr>
          <w:p w:rsidR="00E10F7E" w:rsidRPr="00C7011E" w:rsidRDefault="00E10F7E" w:rsidP="00C7011E">
            <w:pPr>
              <w:widowControl/>
              <w:autoSpaceDE w:val="0"/>
              <w:autoSpaceDN w:val="0"/>
              <w:spacing w:before="120"/>
              <w:textAlignment w:val="bottom"/>
              <w:rPr>
                <w:rFonts w:hAnsi="ＭＳ 明朝"/>
                <w:szCs w:val="21"/>
              </w:rPr>
            </w:pPr>
            <w:r w:rsidRPr="00C7011E">
              <w:rPr>
                <w:rFonts w:hAnsi="ＭＳ 明朝" w:hint="eastAsia"/>
                <w:szCs w:val="21"/>
              </w:rPr>
              <w:t>余白</w:t>
            </w:r>
          </w:p>
        </w:tc>
        <w:tc>
          <w:tcPr>
            <w:tcW w:w="6520" w:type="dxa"/>
            <w:gridSpan w:val="3"/>
            <w:shd w:val="clear" w:color="auto" w:fill="auto"/>
          </w:tcPr>
          <w:p w:rsidR="00E10F7E" w:rsidRPr="00C7011E" w:rsidRDefault="00E10F7E" w:rsidP="00C7011E">
            <w:pPr>
              <w:widowControl/>
              <w:autoSpaceDE w:val="0"/>
              <w:autoSpaceDN w:val="0"/>
              <w:spacing w:before="120"/>
              <w:textAlignment w:val="bottom"/>
              <w:rPr>
                <w:rFonts w:hAnsi="ＭＳ 明朝"/>
                <w:szCs w:val="21"/>
              </w:rPr>
            </w:pPr>
            <w:r w:rsidRPr="00C7011E">
              <w:rPr>
                <w:rFonts w:hAnsi="ＭＳ 明朝" w:hint="eastAsia"/>
                <w:szCs w:val="21"/>
              </w:rPr>
              <w:t>上</w:t>
            </w:r>
            <w:r w:rsidRPr="00C7011E">
              <w:rPr>
                <w:rFonts w:hAnsi="ＭＳ 明朝" w:hint="eastAsia"/>
                <w:szCs w:val="21"/>
              </w:rPr>
              <w:t>26</w:t>
            </w:r>
            <w:r w:rsidRPr="00C7011E">
              <w:rPr>
                <w:rFonts w:hAnsi="ＭＳ 明朝"/>
                <w:szCs w:val="21"/>
              </w:rPr>
              <w:t xml:space="preserve"> mm</w:t>
            </w:r>
            <w:r w:rsidRPr="00C7011E">
              <w:rPr>
                <w:rFonts w:hAnsi="ＭＳ 明朝" w:hint="eastAsia"/>
                <w:szCs w:val="21"/>
              </w:rPr>
              <w:t>、下</w:t>
            </w:r>
            <w:r w:rsidRPr="00C7011E">
              <w:rPr>
                <w:rFonts w:hAnsi="ＭＳ 明朝" w:hint="eastAsia"/>
                <w:szCs w:val="21"/>
              </w:rPr>
              <w:t>32</w:t>
            </w:r>
            <w:r w:rsidRPr="00C7011E">
              <w:rPr>
                <w:rFonts w:hAnsi="ＭＳ 明朝"/>
                <w:szCs w:val="21"/>
              </w:rPr>
              <w:t xml:space="preserve"> mm</w:t>
            </w:r>
            <w:r w:rsidRPr="00C7011E">
              <w:rPr>
                <w:rFonts w:hAnsi="ＭＳ 明朝" w:hint="eastAsia"/>
                <w:szCs w:val="21"/>
              </w:rPr>
              <w:t>、左</w:t>
            </w:r>
            <w:r w:rsidRPr="00C7011E">
              <w:rPr>
                <w:rFonts w:hAnsi="ＭＳ 明朝" w:hint="eastAsia"/>
                <w:szCs w:val="21"/>
              </w:rPr>
              <w:t>22</w:t>
            </w:r>
            <w:r w:rsidRPr="00C7011E">
              <w:rPr>
                <w:rFonts w:hAnsi="ＭＳ 明朝"/>
                <w:szCs w:val="21"/>
              </w:rPr>
              <w:t xml:space="preserve"> mm</w:t>
            </w:r>
            <w:r w:rsidRPr="00C7011E">
              <w:rPr>
                <w:rFonts w:hAnsi="ＭＳ 明朝" w:hint="eastAsia"/>
                <w:szCs w:val="21"/>
              </w:rPr>
              <w:t>、右</w:t>
            </w:r>
            <w:r w:rsidRPr="00C7011E">
              <w:rPr>
                <w:rFonts w:hAnsi="ＭＳ 明朝" w:hint="eastAsia"/>
                <w:szCs w:val="21"/>
              </w:rPr>
              <w:t>18</w:t>
            </w:r>
            <w:r w:rsidRPr="00C7011E">
              <w:rPr>
                <w:rFonts w:hAnsi="ＭＳ 明朝"/>
                <w:szCs w:val="21"/>
              </w:rPr>
              <w:t xml:space="preserve"> mm</w:t>
            </w:r>
            <w:r w:rsidRPr="00C7011E">
              <w:rPr>
                <w:rFonts w:hAnsi="ＭＳ 明朝" w:hint="eastAsia"/>
                <w:szCs w:val="21"/>
              </w:rPr>
              <w:t>、とじしろ</w:t>
            </w:r>
            <w:r w:rsidRPr="00C7011E">
              <w:rPr>
                <w:rFonts w:hAnsi="ＭＳ 明朝" w:hint="eastAsia"/>
                <w:szCs w:val="21"/>
              </w:rPr>
              <w:t>0 mm</w:t>
            </w:r>
            <w:r w:rsidRPr="00C7011E">
              <w:rPr>
                <w:rFonts w:hAnsi="ＭＳ 明朝" w:hint="eastAsia"/>
                <w:szCs w:val="21"/>
              </w:rPr>
              <w:t>、</w:t>
            </w:r>
          </w:p>
          <w:p w:rsidR="00E10F7E" w:rsidRPr="00C7011E" w:rsidRDefault="00E10F7E" w:rsidP="00C7011E">
            <w:pPr>
              <w:widowControl/>
              <w:autoSpaceDE w:val="0"/>
              <w:autoSpaceDN w:val="0"/>
              <w:spacing w:before="120"/>
              <w:textAlignment w:val="bottom"/>
              <w:rPr>
                <w:rFonts w:hAnsi="ＭＳ 明朝"/>
                <w:szCs w:val="21"/>
              </w:rPr>
            </w:pPr>
            <w:r w:rsidRPr="00C7011E">
              <w:rPr>
                <w:rFonts w:hAnsi="ＭＳ 明朝" w:hint="eastAsia"/>
                <w:szCs w:val="21"/>
              </w:rPr>
              <w:t>ヘッダー</w:t>
            </w:r>
            <w:r w:rsidRPr="00C7011E">
              <w:rPr>
                <w:rFonts w:hAnsi="ＭＳ 明朝" w:hint="eastAsia"/>
                <w:szCs w:val="21"/>
              </w:rPr>
              <w:t>15 mm</w:t>
            </w:r>
            <w:r w:rsidRPr="00C7011E">
              <w:rPr>
                <w:rFonts w:hAnsi="ＭＳ 明朝" w:hint="eastAsia"/>
                <w:szCs w:val="21"/>
              </w:rPr>
              <w:t>、フッター</w:t>
            </w:r>
            <w:r w:rsidRPr="00C7011E">
              <w:rPr>
                <w:rFonts w:hAnsi="ＭＳ 明朝" w:hint="eastAsia"/>
                <w:szCs w:val="21"/>
              </w:rPr>
              <w:t>17.5 mm</w:t>
            </w:r>
          </w:p>
        </w:tc>
      </w:tr>
      <w:tr w:rsidR="00E10F7E" w:rsidRPr="00C7011E" w:rsidTr="00A60D96">
        <w:tc>
          <w:tcPr>
            <w:tcW w:w="1984" w:type="dxa"/>
            <w:shd w:val="clear" w:color="auto" w:fill="auto"/>
          </w:tcPr>
          <w:p w:rsidR="00E10F7E" w:rsidRPr="00C7011E" w:rsidRDefault="00E10F7E" w:rsidP="00C7011E">
            <w:pPr>
              <w:widowControl/>
              <w:autoSpaceDE w:val="0"/>
              <w:autoSpaceDN w:val="0"/>
              <w:spacing w:before="120"/>
              <w:textAlignment w:val="bottom"/>
              <w:rPr>
                <w:rFonts w:hAnsi="ＭＳ 明朝"/>
                <w:szCs w:val="21"/>
              </w:rPr>
            </w:pPr>
            <w:r w:rsidRPr="00C7011E">
              <w:rPr>
                <w:rFonts w:hAnsi="ＭＳ 明朝" w:hint="eastAsia"/>
                <w:szCs w:val="21"/>
              </w:rPr>
              <w:t>用紙サイズ</w:t>
            </w:r>
          </w:p>
        </w:tc>
        <w:tc>
          <w:tcPr>
            <w:tcW w:w="6520" w:type="dxa"/>
            <w:gridSpan w:val="3"/>
            <w:shd w:val="clear" w:color="auto" w:fill="auto"/>
          </w:tcPr>
          <w:p w:rsidR="00E10F7E" w:rsidRPr="00C7011E" w:rsidRDefault="00E10F7E" w:rsidP="00C7011E">
            <w:pPr>
              <w:widowControl/>
              <w:autoSpaceDE w:val="0"/>
              <w:autoSpaceDN w:val="0"/>
              <w:spacing w:before="120"/>
              <w:textAlignment w:val="bottom"/>
              <w:rPr>
                <w:rFonts w:hAnsi="ＭＳ 明朝"/>
                <w:szCs w:val="21"/>
              </w:rPr>
            </w:pPr>
            <w:r w:rsidRPr="00C7011E">
              <w:rPr>
                <w:rFonts w:hAnsi="ＭＳ 明朝" w:hint="eastAsia"/>
                <w:szCs w:val="21"/>
              </w:rPr>
              <w:t>A4</w:t>
            </w:r>
            <w:r w:rsidRPr="00C7011E">
              <w:rPr>
                <w:rFonts w:hAnsi="ＭＳ 明朝" w:hint="eastAsia"/>
                <w:szCs w:val="21"/>
              </w:rPr>
              <w:t xml:space="preserve">　縦</w:t>
            </w:r>
          </w:p>
        </w:tc>
      </w:tr>
      <w:tr w:rsidR="000E5661" w:rsidRPr="00C7011E" w:rsidTr="00A60D96">
        <w:tc>
          <w:tcPr>
            <w:tcW w:w="1984" w:type="dxa"/>
            <w:shd w:val="clear" w:color="auto" w:fill="auto"/>
          </w:tcPr>
          <w:p w:rsidR="000E5661" w:rsidRPr="00C7011E" w:rsidRDefault="000E5661" w:rsidP="00C7011E">
            <w:pPr>
              <w:widowControl/>
              <w:autoSpaceDE w:val="0"/>
              <w:autoSpaceDN w:val="0"/>
              <w:spacing w:before="120"/>
              <w:textAlignment w:val="bottom"/>
              <w:rPr>
                <w:rFonts w:hAnsi="ＭＳ 明朝"/>
                <w:szCs w:val="21"/>
              </w:rPr>
            </w:pPr>
            <w:r w:rsidRPr="003C4A6D">
              <w:rPr>
                <w:rFonts w:hAnsi="ＭＳ 明朝" w:hint="eastAsia"/>
                <w:sz w:val="20"/>
              </w:rPr>
              <w:t>ヘッダー</w:t>
            </w:r>
            <w:r>
              <w:rPr>
                <w:rFonts w:hAnsi="ＭＳ 明朝" w:hint="eastAsia"/>
                <w:sz w:val="20"/>
              </w:rPr>
              <w:t>・フッダー</w:t>
            </w:r>
          </w:p>
        </w:tc>
        <w:tc>
          <w:tcPr>
            <w:tcW w:w="6520" w:type="dxa"/>
            <w:gridSpan w:val="3"/>
            <w:shd w:val="clear" w:color="auto" w:fill="auto"/>
          </w:tcPr>
          <w:p w:rsidR="000E5661" w:rsidRPr="000E5661" w:rsidRDefault="000E5661" w:rsidP="000E5661">
            <w:pPr>
              <w:widowControl/>
              <w:autoSpaceDE w:val="0"/>
              <w:autoSpaceDN w:val="0"/>
              <w:spacing w:before="120"/>
              <w:jc w:val="left"/>
              <w:textAlignment w:val="bottom"/>
              <w:rPr>
                <w:rFonts w:hAnsi="ＭＳ 明朝"/>
                <w:color w:val="FF0000"/>
                <w:sz w:val="20"/>
              </w:rPr>
            </w:pPr>
            <w:r>
              <w:rPr>
                <w:rFonts w:hAnsi="ＭＳ 明朝" w:hint="eastAsia"/>
                <w:color w:val="FF0000"/>
                <w:sz w:val="20"/>
              </w:rPr>
              <w:t>記載なし</w:t>
            </w:r>
            <w:r w:rsidR="004E78FF" w:rsidRPr="004E78FF">
              <w:rPr>
                <w:rFonts w:hAnsi="ＭＳ 明朝" w:hint="eastAsia"/>
                <w:sz w:val="20"/>
              </w:rPr>
              <w:t>（取りまとめた後、事務局で挿入します）</w:t>
            </w:r>
          </w:p>
        </w:tc>
      </w:tr>
    </w:tbl>
    <w:p w:rsidR="000E5661" w:rsidRDefault="000E5661" w:rsidP="00A21091">
      <w:pPr>
        <w:widowControl/>
        <w:autoSpaceDE w:val="0"/>
        <w:autoSpaceDN w:val="0"/>
        <w:spacing w:before="120"/>
        <w:textAlignment w:val="bottom"/>
        <w:rPr>
          <w:rFonts w:ascii="ＭＳ ゴシック" w:eastAsia="ＭＳ ゴシック" w:hAnsi="ＭＳ ゴシック"/>
          <w:b/>
          <w:sz w:val="22"/>
          <w:szCs w:val="22"/>
        </w:rPr>
      </w:pPr>
    </w:p>
    <w:p w:rsidR="00A21091" w:rsidRPr="00C7011E" w:rsidRDefault="00A21091" w:rsidP="00A21091">
      <w:pPr>
        <w:widowControl/>
        <w:autoSpaceDE w:val="0"/>
        <w:autoSpaceDN w:val="0"/>
        <w:spacing w:before="120"/>
        <w:textAlignment w:val="bottom"/>
        <w:rPr>
          <w:rFonts w:ascii="ＭＳ ゴシック" w:eastAsia="ＭＳ ゴシック" w:hAnsi="ＭＳ ゴシック"/>
          <w:b/>
          <w:sz w:val="22"/>
          <w:szCs w:val="22"/>
        </w:rPr>
      </w:pPr>
      <w:r w:rsidRPr="00C7011E">
        <w:rPr>
          <w:rFonts w:ascii="ＭＳ ゴシック" w:eastAsia="ＭＳ ゴシック" w:hAnsi="ＭＳ ゴシック" w:hint="eastAsia"/>
          <w:b/>
          <w:sz w:val="22"/>
          <w:szCs w:val="22"/>
        </w:rPr>
        <w:t>2）原稿記載内容と書式</w:t>
      </w:r>
    </w:p>
    <w:p w:rsidR="00A21091" w:rsidRPr="003C4A6D" w:rsidRDefault="0040146F" w:rsidP="000E5661">
      <w:pPr>
        <w:widowControl/>
        <w:autoSpaceDE w:val="0"/>
        <w:autoSpaceDN w:val="0"/>
        <w:spacing w:before="120" w:afterLines="50" w:after="165"/>
        <w:ind w:firstLineChars="99" w:firstLine="217"/>
        <w:textAlignment w:val="bottom"/>
        <w:rPr>
          <w:rFonts w:hAnsi="ＭＳ 明朝"/>
          <w:sz w:val="22"/>
        </w:rPr>
      </w:pPr>
      <w:r>
        <w:rPr>
          <w:rFonts w:hAnsi="ＭＳ 明朝" w:hint="eastAsia"/>
          <w:sz w:val="22"/>
        </w:rPr>
        <w:t>下記</w:t>
      </w:r>
      <w:r w:rsidR="00A21091" w:rsidRPr="003C4A6D">
        <w:rPr>
          <w:rFonts w:hAnsi="ＭＳ 明朝" w:hint="eastAsia"/>
          <w:sz w:val="22"/>
        </w:rPr>
        <w:t>に示す内容全体で、Ａ４</w:t>
      </w:r>
      <w:r w:rsidR="00A21091" w:rsidRPr="003C4A6D">
        <w:rPr>
          <w:rFonts w:hAnsi="ＭＳ 明朝" w:hint="eastAsia"/>
          <w:sz w:val="22"/>
        </w:rPr>
        <w:t>(</w:t>
      </w:r>
      <w:r w:rsidR="00A21091" w:rsidRPr="003C4A6D">
        <w:rPr>
          <w:rFonts w:hAnsi="ＭＳ 明朝" w:hint="eastAsia"/>
          <w:sz w:val="22"/>
        </w:rPr>
        <w:t>タテ</w:t>
      </w:r>
      <w:r w:rsidR="00A21091" w:rsidRPr="003C4A6D">
        <w:rPr>
          <w:rFonts w:hAnsi="ＭＳ 明朝" w:hint="eastAsia"/>
          <w:sz w:val="22"/>
        </w:rPr>
        <w:t>)</w:t>
      </w:r>
      <w:r w:rsidR="00A21091" w:rsidRPr="003C4A6D">
        <w:rPr>
          <w:rFonts w:hAnsi="ＭＳ 明朝" w:hint="eastAsia"/>
          <w:sz w:val="22"/>
        </w:rPr>
        <w:t>用紙３枚程度を目安とする。</w:t>
      </w:r>
    </w:p>
    <w:tbl>
      <w:tblPr>
        <w:tblW w:w="100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5244"/>
        <w:gridCol w:w="2916"/>
      </w:tblGrid>
      <w:tr w:rsidR="00A21091" w:rsidRPr="003C4A6D" w:rsidTr="00C7011E">
        <w:tc>
          <w:tcPr>
            <w:tcW w:w="1920" w:type="dxa"/>
            <w:tcBorders>
              <w:top w:val="single" w:sz="12" w:space="0" w:color="auto"/>
              <w:left w:val="single" w:sz="12" w:space="0" w:color="auto"/>
              <w:bottom w:val="single" w:sz="12" w:space="0" w:color="auto"/>
            </w:tcBorders>
            <w:shd w:val="clear" w:color="auto" w:fill="DBE5F1"/>
            <w:vAlign w:val="center"/>
          </w:tcPr>
          <w:p w:rsidR="00A21091" w:rsidRPr="00C7011E" w:rsidRDefault="00A21091" w:rsidP="00E84665">
            <w:pPr>
              <w:widowControl/>
              <w:autoSpaceDE w:val="0"/>
              <w:autoSpaceDN w:val="0"/>
              <w:spacing w:before="120"/>
              <w:jc w:val="center"/>
              <w:textAlignment w:val="bottom"/>
              <w:rPr>
                <w:rFonts w:ascii="ＭＳ ゴシック" w:eastAsia="ＭＳ ゴシック" w:hAnsi="ＭＳ ゴシック"/>
              </w:rPr>
            </w:pPr>
            <w:r w:rsidRPr="00C7011E">
              <w:rPr>
                <w:rFonts w:ascii="ＭＳ ゴシック" w:eastAsia="ＭＳ ゴシック" w:hAnsi="ＭＳ ゴシック" w:hint="eastAsia"/>
              </w:rPr>
              <w:t>項　　目</w:t>
            </w:r>
          </w:p>
        </w:tc>
        <w:tc>
          <w:tcPr>
            <w:tcW w:w="5244" w:type="dxa"/>
            <w:tcBorders>
              <w:top w:val="single" w:sz="12" w:space="0" w:color="auto"/>
              <w:bottom w:val="single" w:sz="12" w:space="0" w:color="auto"/>
            </w:tcBorders>
            <w:shd w:val="clear" w:color="auto" w:fill="DBE5F1"/>
            <w:vAlign w:val="center"/>
          </w:tcPr>
          <w:p w:rsidR="00A21091" w:rsidRPr="00C7011E" w:rsidRDefault="00A21091" w:rsidP="00E84665">
            <w:pPr>
              <w:widowControl/>
              <w:autoSpaceDE w:val="0"/>
              <w:autoSpaceDN w:val="0"/>
              <w:spacing w:before="120"/>
              <w:jc w:val="center"/>
              <w:textAlignment w:val="bottom"/>
              <w:rPr>
                <w:rFonts w:ascii="ＭＳ ゴシック" w:eastAsia="ＭＳ ゴシック" w:hAnsi="ＭＳ ゴシック"/>
              </w:rPr>
            </w:pPr>
            <w:r w:rsidRPr="00C7011E">
              <w:rPr>
                <w:rFonts w:ascii="ＭＳ ゴシック" w:eastAsia="ＭＳ ゴシック" w:hAnsi="ＭＳ ゴシック" w:hint="eastAsia"/>
              </w:rPr>
              <w:t>内　　　容</w:t>
            </w:r>
          </w:p>
        </w:tc>
        <w:tc>
          <w:tcPr>
            <w:tcW w:w="2916" w:type="dxa"/>
            <w:tcBorders>
              <w:top w:val="single" w:sz="12" w:space="0" w:color="auto"/>
              <w:bottom w:val="single" w:sz="12" w:space="0" w:color="auto"/>
              <w:right w:val="single" w:sz="12" w:space="0" w:color="auto"/>
            </w:tcBorders>
            <w:shd w:val="clear" w:color="auto" w:fill="DBE5F1"/>
            <w:vAlign w:val="center"/>
          </w:tcPr>
          <w:p w:rsidR="00A21091" w:rsidRPr="00C7011E" w:rsidRDefault="00A21091" w:rsidP="00E84665">
            <w:pPr>
              <w:widowControl/>
              <w:autoSpaceDE w:val="0"/>
              <w:autoSpaceDN w:val="0"/>
              <w:spacing w:before="120"/>
              <w:jc w:val="center"/>
              <w:textAlignment w:val="bottom"/>
              <w:rPr>
                <w:rFonts w:ascii="ＭＳ ゴシック" w:eastAsia="ＭＳ ゴシック" w:hAnsi="ＭＳ ゴシック"/>
              </w:rPr>
            </w:pPr>
            <w:r w:rsidRPr="00C7011E">
              <w:rPr>
                <w:rFonts w:ascii="ＭＳ ゴシック" w:eastAsia="ＭＳ ゴシック" w:hAnsi="ＭＳ ゴシック" w:hint="eastAsia"/>
              </w:rPr>
              <w:t>執　筆　書　式</w:t>
            </w:r>
          </w:p>
        </w:tc>
      </w:tr>
      <w:tr w:rsidR="00A21091" w:rsidRPr="003C4A6D" w:rsidTr="000E5661">
        <w:tc>
          <w:tcPr>
            <w:tcW w:w="1920" w:type="dxa"/>
            <w:tcBorders>
              <w:top w:val="single" w:sz="12" w:space="0" w:color="auto"/>
              <w:left w:val="single" w:sz="12" w:space="0" w:color="auto"/>
            </w:tcBorders>
            <w:vAlign w:val="center"/>
          </w:tcPr>
          <w:p w:rsidR="00A21091" w:rsidRPr="003C4A6D" w:rsidRDefault="00A21091" w:rsidP="000E5661">
            <w:pPr>
              <w:widowControl/>
              <w:autoSpaceDE w:val="0"/>
              <w:autoSpaceDN w:val="0"/>
              <w:spacing w:before="120"/>
              <w:jc w:val="center"/>
              <w:textAlignment w:val="bottom"/>
              <w:rPr>
                <w:rFonts w:hAnsi="ＭＳ 明朝"/>
              </w:rPr>
            </w:pPr>
            <w:r w:rsidRPr="003C4A6D">
              <w:rPr>
                <w:rFonts w:hAnsi="ＭＳ 明朝" w:hint="eastAsia"/>
              </w:rPr>
              <w:t>研究課題名</w:t>
            </w:r>
          </w:p>
        </w:tc>
        <w:tc>
          <w:tcPr>
            <w:tcW w:w="5244" w:type="dxa"/>
            <w:tcBorders>
              <w:top w:val="single" w:sz="12" w:space="0" w:color="auto"/>
            </w:tcBorders>
          </w:tcPr>
          <w:p w:rsidR="00A21091" w:rsidRPr="003C4A6D" w:rsidRDefault="00795F77" w:rsidP="00E84665">
            <w:pPr>
              <w:widowControl/>
              <w:autoSpaceDE w:val="0"/>
              <w:autoSpaceDN w:val="0"/>
              <w:spacing w:before="120"/>
              <w:textAlignment w:val="bottom"/>
              <w:rPr>
                <w:rFonts w:hAnsi="ＭＳ 明朝"/>
                <w:sz w:val="18"/>
              </w:rPr>
            </w:pPr>
            <w:r w:rsidRPr="004E78FF">
              <w:rPr>
                <w:rFonts w:hAnsi="ＭＳ 明朝" w:hint="eastAsia"/>
                <w:b/>
                <w:color w:val="FF0000"/>
                <w:sz w:val="18"/>
              </w:rPr>
              <w:t>申請した</w:t>
            </w:r>
            <w:r w:rsidR="00A21091" w:rsidRPr="004E78FF">
              <w:rPr>
                <w:rFonts w:hAnsi="ＭＳ 明朝" w:hint="eastAsia"/>
                <w:b/>
                <w:color w:val="FF0000"/>
                <w:sz w:val="18"/>
              </w:rPr>
              <w:t>研究課題名</w:t>
            </w:r>
            <w:r w:rsidR="00A21091" w:rsidRPr="003C4A6D">
              <w:rPr>
                <w:rFonts w:hAnsi="ＭＳ 明朝" w:hint="eastAsia"/>
                <w:sz w:val="18"/>
              </w:rPr>
              <w:t>を用いること</w:t>
            </w:r>
          </w:p>
          <w:p w:rsidR="00A21091" w:rsidRPr="00795F77" w:rsidRDefault="00A21091" w:rsidP="00795F77">
            <w:pPr>
              <w:widowControl/>
              <w:autoSpaceDE w:val="0"/>
              <w:autoSpaceDN w:val="0"/>
              <w:spacing w:before="120"/>
              <w:textAlignment w:val="bottom"/>
              <w:rPr>
                <w:rFonts w:hAnsi="ＭＳ 明朝"/>
                <w:sz w:val="18"/>
              </w:rPr>
            </w:pPr>
            <w:r w:rsidRPr="003C4A6D">
              <w:rPr>
                <w:rFonts w:hAnsi="ＭＳ 明朝" w:hint="eastAsia"/>
                <w:sz w:val="18"/>
              </w:rPr>
              <w:t>例）ファーマコゲノミックスの医療への応用</w:t>
            </w:r>
          </w:p>
        </w:tc>
        <w:tc>
          <w:tcPr>
            <w:tcW w:w="2916" w:type="dxa"/>
            <w:tcBorders>
              <w:top w:val="single" w:sz="12" w:space="0" w:color="auto"/>
              <w:right w:val="single" w:sz="12" w:space="0" w:color="auto"/>
            </w:tcBorders>
            <w:vAlign w:val="center"/>
          </w:tcPr>
          <w:p w:rsidR="00A21091" w:rsidRPr="003C4A6D" w:rsidRDefault="00A21091" w:rsidP="0040146F">
            <w:pPr>
              <w:widowControl/>
              <w:autoSpaceDE w:val="0"/>
              <w:autoSpaceDN w:val="0"/>
              <w:spacing w:before="120"/>
              <w:textAlignment w:val="bottom"/>
              <w:rPr>
                <w:rFonts w:hAnsi="ＭＳ 明朝"/>
                <w:sz w:val="18"/>
              </w:rPr>
            </w:pPr>
            <w:r w:rsidRPr="003C4A6D">
              <w:rPr>
                <w:rFonts w:hAnsi="ＭＳ 明朝" w:hint="eastAsia"/>
                <w:sz w:val="18"/>
              </w:rPr>
              <w:t>MS</w:t>
            </w:r>
            <w:r w:rsidRPr="003C4A6D">
              <w:rPr>
                <w:rFonts w:hAnsi="ＭＳ 明朝" w:hint="eastAsia"/>
                <w:sz w:val="18"/>
              </w:rPr>
              <w:t>明朝</w:t>
            </w:r>
            <w:r w:rsidR="00AD2282">
              <w:rPr>
                <w:rFonts w:hAnsi="ＭＳ 明朝" w:hint="eastAsia"/>
                <w:sz w:val="18"/>
              </w:rPr>
              <w:t>体</w:t>
            </w:r>
            <w:r w:rsidR="004237EA">
              <w:rPr>
                <w:rFonts w:hAnsi="ＭＳ 明朝" w:hint="eastAsia"/>
                <w:sz w:val="18"/>
              </w:rPr>
              <w:t>、太字、</w:t>
            </w:r>
            <w:r w:rsidRPr="003C4A6D">
              <w:rPr>
                <w:rFonts w:hAnsi="ＭＳ 明朝" w:hint="eastAsia"/>
                <w:sz w:val="18"/>
              </w:rPr>
              <w:t>14</w:t>
            </w:r>
            <w:r w:rsidRPr="003C4A6D">
              <w:rPr>
                <w:rFonts w:hAnsi="ＭＳ 明朝" w:hint="eastAsia"/>
                <w:sz w:val="18"/>
              </w:rPr>
              <w:t>ポイント</w:t>
            </w:r>
          </w:p>
          <w:p w:rsidR="00A21091" w:rsidRPr="003C4A6D" w:rsidRDefault="00A21091" w:rsidP="0040146F">
            <w:pPr>
              <w:widowControl/>
              <w:autoSpaceDE w:val="0"/>
              <w:autoSpaceDN w:val="0"/>
              <w:spacing w:before="120"/>
              <w:textAlignment w:val="bottom"/>
              <w:rPr>
                <w:rFonts w:hAnsi="ＭＳ 明朝"/>
                <w:sz w:val="18"/>
              </w:rPr>
            </w:pPr>
            <w:r w:rsidRPr="003C4A6D">
              <w:rPr>
                <w:rFonts w:hAnsi="ＭＳ 明朝" w:hint="eastAsia"/>
                <w:sz w:val="18"/>
              </w:rPr>
              <w:t>左右センター揃え</w:t>
            </w:r>
          </w:p>
        </w:tc>
      </w:tr>
      <w:tr w:rsidR="00A21091" w:rsidRPr="003C4A6D" w:rsidTr="000E5661">
        <w:tc>
          <w:tcPr>
            <w:tcW w:w="1920" w:type="dxa"/>
            <w:tcBorders>
              <w:left w:val="single" w:sz="12" w:space="0" w:color="auto"/>
              <w:bottom w:val="single" w:sz="12" w:space="0" w:color="auto"/>
            </w:tcBorders>
            <w:vAlign w:val="center"/>
          </w:tcPr>
          <w:p w:rsidR="00A21091" w:rsidRPr="003C4A6D" w:rsidRDefault="00A21091" w:rsidP="000E5661">
            <w:pPr>
              <w:widowControl/>
              <w:autoSpaceDE w:val="0"/>
              <w:autoSpaceDN w:val="0"/>
              <w:spacing w:before="120"/>
              <w:jc w:val="center"/>
              <w:textAlignment w:val="bottom"/>
              <w:rPr>
                <w:rFonts w:hAnsi="ＭＳ 明朝"/>
              </w:rPr>
            </w:pPr>
            <w:r w:rsidRPr="003C4A6D">
              <w:rPr>
                <w:rFonts w:hAnsi="ＭＳ 明朝" w:hint="eastAsia"/>
              </w:rPr>
              <w:t>研究代表者名</w:t>
            </w:r>
          </w:p>
          <w:p w:rsidR="00A21091" w:rsidRPr="003C4A6D" w:rsidRDefault="00A21091" w:rsidP="000E5661">
            <w:pPr>
              <w:widowControl/>
              <w:autoSpaceDE w:val="0"/>
              <w:autoSpaceDN w:val="0"/>
              <w:spacing w:before="120"/>
              <w:jc w:val="center"/>
              <w:textAlignment w:val="bottom"/>
              <w:rPr>
                <w:rFonts w:hAnsi="ＭＳ 明朝"/>
              </w:rPr>
            </w:pPr>
            <w:r w:rsidRPr="003C4A6D">
              <w:rPr>
                <w:rFonts w:hAnsi="ＭＳ 明朝" w:hint="eastAsia"/>
              </w:rPr>
              <w:t>もしくは研究者名</w:t>
            </w:r>
          </w:p>
        </w:tc>
        <w:tc>
          <w:tcPr>
            <w:tcW w:w="5244" w:type="dxa"/>
            <w:tcBorders>
              <w:bottom w:val="single" w:sz="12" w:space="0" w:color="auto"/>
            </w:tcBorders>
          </w:tcPr>
          <w:p w:rsidR="00A21091" w:rsidRPr="003C4A6D" w:rsidRDefault="00A21091" w:rsidP="00A21091">
            <w:pPr>
              <w:widowControl/>
              <w:autoSpaceDE w:val="0"/>
              <w:autoSpaceDN w:val="0"/>
              <w:spacing w:before="120"/>
              <w:textAlignment w:val="bottom"/>
              <w:rPr>
                <w:rFonts w:hAnsi="ＭＳ 明朝"/>
                <w:sz w:val="18"/>
              </w:rPr>
            </w:pPr>
            <w:r w:rsidRPr="003C4A6D">
              <w:rPr>
                <w:rFonts w:hAnsi="ＭＳ 明朝" w:hint="eastAsia"/>
                <w:sz w:val="18"/>
              </w:rPr>
              <w:t>「研究代表者」もしくは「研究者」と記載し、続けてご本人氏名</w:t>
            </w:r>
            <w:r w:rsidR="00FA4B8C">
              <w:rPr>
                <w:rFonts w:hAnsi="ＭＳ 明朝" w:hint="eastAsia"/>
                <w:sz w:val="18"/>
              </w:rPr>
              <w:t>、</w:t>
            </w:r>
            <w:r w:rsidRPr="003C4A6D">
              <w:rPr>
                <w:rFonts w:hAnsi="ＭＳ 明朝" w:hint="eastAsia"/>
                <w:sz w:val="18"/>
              </w:rPr>
              <w:t>（カッコ書きで）本属および資格を記載</w:t>
            </w:r>
          </w:p>
          <w:p w:rsidR="00A21091" w:rsidRPr="003C4A6D" w:rsidRDefault="004237EA" w:rsidP="00795F77">
            <w:pPr>
              <w:widowControl/>
              <w:autoSpaceDE w:val="0"/>
              <w:autoSpaceDN w:val="0"/>
              <w:spacing w:before="120"/>
              <w:textAlignment w:val="bottom"/>
              <w:rPr>
                <w:rFonts w:hAnsi="ＭＳ 明朝"/>
                <w:sz w:val="18"/>
              </w:rPr>
            </w:pPr>
            <w:r>
              <w:rPr>
                <w:rFonts w:hAnsi="ＭＳ 明朝" w:hint="eastAsia"/>
                <w:sz w:val="18"/>
              </w:rPr>
              <w:t xml:space="preserve">　例）</w:t>
            </w:r>
            <w:r w:rsidR="00A21091" w:rsidRPr="003C4A6D">
              <w:rPr>
                <w:rFonts w:hAnsi="ＭＳ 明朝" w:hint="eastAsia"/>
                <w:sz w:val="18"/>
              </w:rPr>
              <w:t xml:space="preserve">研究代表者　</w:t>
            </w:r>
            <w:r w:rsidR="00A21091">
              <w:rPr>
                <w:rFonts w:hAnsi="ＭＳ 明朝" w:hint="eastAsia"/>
                <w:sz w:val="18"/>
              </w:rPr>
              <w:t>早稲田　太郎</w:t>
            </w:r>
            <w:r w:rsidR="00795F77">
              <w:rPr>
                <w:rFonts w:hAnsi="ＭＳ 明朝" w:hint="eastAsia"/>
                <w:sz w:val="18"/>
              </w:rPr>
              <w:t>（学部　学科</w:t>
            </w:r>
            <w:r>
              <w:rPr>
                <w:rFonts w:hAnsi="ＭＳ 明朝" w:hint="eastAsia"/>
                <w:sz w:val="18"/>
              </w:rPr>
              <w:t xml:space="preserve">　</w:t>
            </w:r>
            <w:r w:rsidR="00A21091" w:rsidRPr="003C4A6D">
              <w:rPr>
                <w:rFonts w:hAnsi="ＭＳ 明朝" w:hint="eastAsia"/>
                <w:sz w:val="18"/>
              </w:rPr>
              <w:t>教授）</w:t>
            </w:r>
          </w:p>
        </w:tc>
        <w:tc>
          <w:tcPr>
            <w:tcW w:w="2916" w:type="dxa"/>
            <w:tcBorders>
              <w:bottom w:val="single" w:sz="12" w:space="0" w:color="auto"/>
              <w:right w:val="single" w:sz="12" w:space="0" w:color="auto"/>
            </w:tcBorders>
            <w:vAlign w:val="center"/>
          </w:tcPr>
          <w:p w:rsidR="00A21091" w:rsidRPr="003C4A6D" w:rsidRDefault="00A21091" w:rsidP="0040146F">
            <w:pPr>
              <w:widowControl/>
              <w:autoSpaceDE w:val="0"/>
              <w:autoSpaceDN w:val="0"/>
              <w:spacing w:before="120"/>
              <w:textAlignment w:val="bottom"/>
              <w:rPr>
                <w:rFonts w:hAnsi="ＭＳ 明朝"/>
                <w:sz w:val="18"/>
              </w:rPr>
            </w:pPr>
            <w:r w:rsidRPr="003C4A6D">
              <w:rPr>
                <w:rFonts w:hAnsi="ＭＳ 明朝" w:hint="eastAsia"/>
                <w:sz w:val="18"/>
              </w:rPr>
              <w:t>MS</w:t>
            </w:r>
            <w:r w:rsidR="004237EA">
              <w:rPr>
                <w:rFonts w:hAnsi="ＭＳ 明朝" w:hint="eastAsia"/>
                <w:sz w:val="18"/>
              </w:rPr>
              <w:t>明朝体、</w:t>
            </w:r>
            <w:r w:rsidRPr="003C4A6D">
              <w:rPr>
                <w:rFonts w:hAnsi="ＭＳ 明朝" w:hint="eastAsia"/>
                <w:sz w:val="18"/>
              </w:rPr>
              <w:t>12</w:t>
            </w:r>
            <w:r w:rsidRPr="003C4A6D">
              <w:rPr>
                <w:rFonts w:hAnsi="ＭＳ 明朝" w:hint="eastAsia"/>
                <w:sz w:val="18"/>
              </w:rPr>
              <w:t>ポイント</w:t>
            </w:r>
          </w:p>
          <w:p w:rsidR="00A21091" w:rsidRPr="003C4A6D" w:rsidRDefault="00A21091" w:rsidP="0040146F">
            <w:pPr>
              <w:widowControl/>
              <w:autoSpaceDE w:val="0"/>
              <w:autoSpaceDN w:val="0"/>
              <w:spacing w:before="120"/>
              <w:textAlignment w:val="bottom"/>
              <w:rPr>
                <w:rFonts w:hAnsi="ＭＳ 明朝"/>
                <w:sz w:val="18"/>
              </w:rPr>
            </w:pPr>
            <w:r w:rsidRPr="003C4A6D">
              <w:rPr>
                <w:rFonts w:hAnsi="ＭＳ 明朝" w:hint="eastAsia"/>
                <w:sz w:val="18"/>
              </w:rPr>
              <w:t>右揃え</w:t>
            </w:r>
          </w:p>
        </w:tc>
      </w:tr>
      <w:tr w:rsidR="004237EA" w:rsidRPr="003C4A6D" w:rsidTr="000E5661">
        <w:tc>
          <w:tcPr>
            <w:tcW w:w="1920" w:type="dxa"/>
            <w:tcBorders>
              <w:top w:val="single" w:sz="12" w:space="0" w:color="auto"/>
              <w:left w:val="single" w:sz="12" w:space="0" w:color="auto"/>
            </w:tcBorders>
            <w:vAlign w:val="center"/>
          </w:tcPr>
          <w:p w:rsidR="004237EA" w:rsidRPr="003C4A6D" w:rsidRDefault="004237EA" w:rsidP="000E5661">
            <w:pPr>
              <w:widowControl/>
              <w:autoSpaceDE w:val="0"/>
              <w:autoSpaceDN w:val="0"/>
              <w:spacing w:before="120"/>
              <w:textAlignment w:val="bottom"/>
              <w:rPr>
                <w:rFonts w:hAnsi="ＭＳ 明朝"/>
              </w:rPr>
            </w:pPr>
            <w:r w:rsidRPr="003C4A6D">
              <w:rPr>
                <w:rFonts w:hAnsi="ＭＳ 明朝" w:hint="eastAsia"/>
              </w:rPr>
              <w:t>1</w:t>
            </w:r>
            <w:r w:rsidRPr="003C4A6D">
              <w:rPr>
                <w:rFonts w:hAnsi="ＭＳ 明朝" w:hint="eastAsia"/>
              </w:rPr>
              <w:t>．研究課題</w:t>
            </w:r>
          </w:p>
        </w:tc>
        <w:tc>
          <w:tcPr>
            <w:tcW w:w="5244" w:type="dxa"/>
            <w:tcBorders>
              <w:top w:val="single" w:sz="12" w:space="0" w:color="auto"/>
            </w:tcBorders>
          </w:tcPr>
          <w:p w:rsidR="004237EA" w:rsidRPr="003C4A6D" w:rsidRDefault="004237EA" w:rsidP="00A21091">
            <w:pPr>
              <w:widowControl/>
              <w:autoSpaceDE w:val="0"/>
              <w:autoSpaceDN w:val="0"/>
              <w:spacing w:before="120"/>
              <w:textAlignment w:val="bottom"/>
              <w:rPr>
                <w:rFonts w:hAnsi="ＭＳ 明朝"/>
                <w:sz w:val="18"/>
              </w:rPr>
            </w:pPr>
            <w:r w:rsidRPr="003C4A6D">
              <w:rPr>
                <w:rFonts w:hAnsi="ＭＳ 明朝" w:hint="eastAsia"/>
                <w:sz w:val="18"/>
              </w:rPr>
              <w:t>研究における目標・課題等の概要</w:t>
            </w:r>
          </w:p>
        </w:tc>
        <w:tc>
          <w:tcPr>
            <w:tcW w:w="2916" w:type="dxa"/>
            <w:vMerge w:val="restart"/>
            <w:tcBorders>
              <w:top w:val="single" w:sz="12" w:space="0" w:color="auto"/>
              <w:right w:val="single" w:sz="12" w:space="0" w:color="auto"/>
            </w:tcBorders>
            <w:vAlign w:val="center"/>
          </w:tcPr>
          <w:p w:rsidR="004237EA" w:rsidRDefault="004237EA" w:rsidP="0040146F">
            <w:pPr>
              <w:widowControl/>
              <w:autoSpaceDE w:val="0"/>
              <w:autoSpaceDN w:val="0"/>
              <w:spacing w:before="120"/>
              <w:textAlignment w:val="bottom"/>
              <w:rPr>
                <w:rFonts w:hAnsi="ＭＳ 明朝"/>
                <w:sz w:val="18"/>
              </w:rPr>
            </w:pPr>
            <w:r>
              <w:rPr>
                <w:rFonts w:hAnsi="ＭＳ 明朝" w:hint="eastAsia"/>
                <w:sz w:val="18"/>
              </w:rPr>
              <w:t>【見出し】</w:t>
            </w:r>
          </w:p>
          <w:p w:rsidR="004237EA" w:rsidRPr="003C4A6D" w:rsidRDefault="004237EA" w:rsidP="0040146F">
            <w:pPr>
              <w:widowControl/>
              <w:autoSpaceDE w:val="0"/>
              <w:autoSpaceDN w:val="0"/>
              <w:spacing w:before="120"/>
              <w:ind w:firstLineChars="100" w:firstLine="180"/>
              <w:textAlignment w:val="bottom"/>
              <w:rPr>
                <w:rFonts w:hAnsi="ＭＳ 明朝"/>
                <w:sz w:val="18"/>
              </w:rPr>
            </w:pPr>
            <w:r w:rsidRPr="003C4A6D">
              <w:rPr>
                <w:rFonts w:hAnsi="ＭＳ 明朝" w:hint="eastAsia"/>
                <w:sz w:val="18"/>
              </w:rPr>
              <w:t>MS</w:t>
            </w:r>
            <w:r w:rsidRPr="003C4A6D">
              <w:rPr>
                <w:rFonts w:hAnsi="ＭＳ 明朝" w:hint="eastAsia"/>
                <w:sz w:val="18"/>
              </w:rPr>
              <w:t>ゴシック</w:t>
            </w:r>
            <w:r>
              <w:rPr>
                <w:rFonts w:hAnsi="ＭＳ 明朝" w:hint="eastAsia"/>
                <w:sz w:val="18"/>
              </w:rPr>
              <w:t>、太字、</w:t>
            </w:r>
            <w:r w:rsidRPr="003C4A6D">
              <w:rPr>
                <w:rFonts w:hAnsi="ＭＳ 明朝" w:hint="eastAsia"/>
                <w:sz w:val="18"/>
              </w:rPr>
              <w:t>11</w:t>
            </w:r>
            <w:r w:rsidRPr="003C4A6D">
              <w:rPr>
                <w:rFonts w:hAnsi="ＭＳ 明朝" w:hint="eastAsia"/>
                <w:sz w:val="18"/>
              </w:rPr>
              <w:t>ポイント</w:t>
            </w:r>
          </w:p>
          <w:p w:rsidR="004237EA" w:rsidRDefault="004237EA" w:rsidP="0040146F">
            <w:pPr>
              <w:widowControl/>
              <w:autoSpaceDE w:val="0"/>
              <w:autoSpaceDN w:val="0"/>
              <w:spacing w:before="120"/>
              <w:textAlignment w:val="bottom"/>
              <w:rPr>
                <w:rFonts w:hAnsi="ＭＳ 明朝"/>
                <w:sz w:val="18"/>
              </w:rPr>
            </w:pPr>
            <w:r>
              <w:rPr>
                <w:rFonts w:hAnsi="ＭＳ 明朝" w:hint="eastAsia"/>
                <w:sz w:val="18"/>
              </w:rPr>
              <w:t>【</w:t>
            </w:r>
            <w:r w:rsidRPr="003C4A6D">
              <w:rPr>
                <w:rFonts w:hAnsi="ＭＳ 明朝" w:hint="eastAsia"/>
                <w:sz w:val="18"/>
              </w:rPr>
              <w:t>本文</w:t>
            </w:r>
            <w:r>
              <w:rPr>
                <w:rFonts w:hAnsi="ＭＳ 明朝" w:hint="eastAsia"/>
                <w:sz w:val="18"/>
              </w:rPr>
              <w:t>】</w:t>
            </w:r>
          </w:p>
          <w:p w:rsidR="004237EA" w:rsidRPr="003C4A6D" w:rsidRDefault="004237EA" w:rsidP="0040146F">
            <w:pPr>
              <w:widowControl/>
              <w:autoSpaceDE w:val="0"/>
              <w:autoSpaceDN w:val="0"/>
              <w:spacing w:before="120"/>
              <w:ind w:firstLineChars="100" w:firstLine="180"/>
              <w:textAlignment w:val="bottom"/>
              <w:rPr>
                <w:rFonts w:hAnsi="ＭＳ 明朝"/>
                <w:sz w:val="18"/>
              </w:rPr>
            </w:pPr>
            <w:r w:rsidRPr="003C4A6D">
              <w:rPr>
                <w:rFonts w:hAnsi="ＭＳ 明朝" w:hint="eastAsia"/>
                <w:sz w:val="18"/>
              </w:rPr>
              <w:t>MS</w:t>
            </w:r>
            <w:r>
              <w:rPr>
                <w:rFonts w:hAnsi="ＭＳ 明朝" w:hint="eastAsia"/>
                <w:sz w:val="18"/>
              </w:rPr>
              <w:t>明朝体、</w:t>
            </w:r>
            <w:r w:rsidRPr="003C4A6D">
              <w:rPr>
                <w:rFonts w:hAnsi="ＭＳ 明朝" w:hint="eastAsia"/>
                <w:sz w:val="18"/>
              </w:rPr>
              <w:t>11</w:t>
            </w:r>
            <w:r w:rsidRPr="003C4A6D">
              <w:rPr>
                <w:rFonts w:hAnsi="ＭＳ 明朝" w:hint="eastAsia"/>
                <w:sz w:val="18"/>
              </w:rPr>
              <w:t>ポイント</w:t>
            </w:r>
          </w:p>
        </w:tc>
      </w:tr>
      <w:tr w:rsidR="004237EA" w:rsidRPr="003C4A6D" w:rsidTr="000E5661">
        <w:tc>
          <w:tcPr>
            <w:tcW w:w="1920" w:type="dxa"/>
            <w:tcBorders>
              <w:left w:val="single" w:sz="12" w:space="0" w:color="auto"/>
            </w:tcBorders>
            <w:vAlign w:val="center"/>
          </w:tcPr>
          <w:p w:rsidR="004237EA" w:rsidRPr="003C4A6D" w:rsidRDefault="004237EA" w:rsidP="000E5661">
            <w:pPr>
              <w:widowControl/>
              <w:autoSpaceDE w:val="0"/>
              <w:autoSpaceDN w:val="0"/>
              <w:spacing w:before="120"/>
              <w:textAlignment w:val="bottom"/>
              <w:rPr>
                <w:rFonts w:hAnsi="ＭＳ 明朝"/>
              </w:rPr>
            </w:pPr>
            <w:r w:rsidRPr="003C4A6D">
              <w:rPr>
                <w:rFonts w:hAnsi="ＭＳ 明朝" w:hint="eastAsia"/>
              </w:rPr>
              <w:t>2</w:t>
            </w:r>
            <w:r w:rsidRPr="003C4A6D">
              <w:rPr>
                <w:rFonts w:hAnsi="ＭＳ 明朝" w:hint="eastAsia"/>
              </w:rPr>
              <w:t>．主な研究成果</w:t>
            </w:r>
          </w:p>
        </w:tc>
        <w:tc>
          <w:tcPr>
            <w:tcW w:w="5244" w:type="dxa"/>
          </w:tcPr>
          <w:p w:rsidR="004237EA" w:rsidRPr="003C4A6D" w:rsidRDefault="004237EA" w:rsidP="00A21091">
            <w:pPr>
              <w:widowControl/>
              <w:autoSpaceDE w:val="0"/>
              <w:autoSpaceDN w:val="0"/>
              <w:spacing w:before="120"/>
              <w:textAlignment w:val="bottom"/>
              <w:rPr>
                <w:rFonts w:hAnsi="ＭＳ 明朝"/>
                <w:sz w:val="18"/>
              </w:rPr>
            </w:pPr>
            <w:r w:rsidRPr="003C4A6D">
              <w:rPr>
                <w:rFonts w:hAnsi="ＭＳ 明朝" w:hint="eastAsia"/>
                <w:sz w:val="18"/>
              </w:rPr>
              <w:t>図や写真を効果的に用いて研究成果をまとめる</w:t>
            </w:r>
          </w:p>
        </w:tc>
        <w:tc>
          <w:tcPr>
            <w:tcW w:w="2916" w:type="dxa"/>
            <w:vMerge/>
            <w:tcBorders>
              <w:right w:val="single" w:sz="12" w:space="0" w:color="auto"/>
            </w:tcBorders>
          </w:tcPr>
          <w:p w:rsidR="004237EA" w:rsidRPr="003C4A6D" w:rsidRDefault="004237EA" w:rsidP="00A21091">
            <w:pPr>
              <w:autoSpaceDE w:val="0"/>
              <w:autoSpaceDN w:val="0"/>
              <w:spacing w:before="120"/>
              <w:textAlignment w:val="bottom"/>
              <w:rPr>
                <w:rFonts w:hAnsi="ＭＳ 明朝"/>
                <w:sz w:val="18"/>
              </w:rPr>
            </w:pPr>
          </w:p>
        </w:tc>
      </w:tr>
      <w:tr w:rsidR="004237EA" w:rsidRPr="003C4A6D" w:rsidTr="000E5661">
        <w:tc>
          <w:tcPr>
            <w:tcW w:w="1920" w:type="dxa"/>
            <w:tcBorders>
              <w:left w:val="single" w:sz="12" w:space="0" w:color="auto"/>
            </w:tcBorders>
            <w:vAlign w:val="center"/>
          </w:tcPr>
          <w:p w:rsidR="004237EA" w:rsidRPr="003C4A6D" w:rsidRDefault="004237EA" w:rsidP="000E5661">
            <w:pPr>
              <w:widowControl/>
              <w:autoSpaceDE w:val="0"/>
              <w:autoSpaceDN w:val="0"/>
              <w:spacing w:before="120"/>
              <w:textAlignment w:val="bottom"/>
              <w:rPr>
                <w:rFonts w:hAnsi="ＭＳ 明朝"/>
              </w:rPr>
            </w:pPr>
            <w:r w:rsidRPr="003C4A6D">
              <w:rPr>
                <w:rFonts w:hAnsi="ＭＳ 明朝" w:hint="eastAsia"/>
              </w:rPr>
              <w:t>3</w:t>
            </w:r>
            <w:r w:rsidRPr="003C4A6D">
              <w:rPr>
                <w:rFonts w:hAnsi="ＭＳ 明朝" w:hint="eastAsia"/>
              </w:rPr>
              <w:t>．共同研究者</w:t>
            </w:r>
          </w:p>
        </w:tc>
        <w:tc>
          <w:tcPr>
            <w:tcW w:w="5244" w:type="dxa"/>
          </w:tcPr>
          <w:p w:rsidR="004237EA" w:rsidRPr="003C4A6D" w:rsidRDefault="004237EA" w:rsidP="00A21091">
            <w:pPr>
              <w:widowControl/>
              <w:autoSpaceDE w:val="0"/>
              <w:autoSpaceDN w:val="0"/>
              <w:spacing w:before="120"/>
              <w:textAlignment w:val="bottom"/>
              <w:rPr>
                <w:rFonts w:hAnsi="ＭＳ 明朝"/>
                <w:sz w:val="18"/>
              </w:rPr>
            </w:pPr>
            <w:r w:rsidRPr="003C4A6D">
              <w:rPr>
                <w:rFonts w:hAnsi="ＭＳ 明朝" w:hint="eastAsia"/>
                <w:sz w:val="18"/>
              </w:rPr>
              <w:t>執筆者単独での研究の場合は不要</w:t>
            </w:r>
            <w:r w:rsidRPr="003C4A6D">
              <w:rPr>
                <w:rFonts w:hAnsi="ＭＳ 明朝" w:hint="eastAsia"/>
                <w:sz w:val="18"/>
              </w:rPr>
              <w:t>(</w:t>
            </w:r>
            <w:r w:rsidRPr="003C4A6D">
              <w:rPr>
                <w:rFonts w:hAnsi="ＭＳ 明朝" w:hint="eastAsia"/>
                <w:sz w:val="18"/>
              </w:rPr>
              <w:t>その場合は、以降の項目番号を繰り上げる</w:t>
            </w:r>
            <w:r w:rsidRPr="003C4A6D">
              <w:rPr>
                <w:rFonts w:hAnsi="ＭＳ 明朝" w:hint="eastAsia"/>
                <w:sz w:val="18"/>
              </w:rPr>
              <w:t>)</w:t>
            </w:r>
          </w:p>
          <w:p w:rsidR="004237EA" w:rsidRPr="003C4A6D" w:rsidRDefault="004237EA" w:rsidP="00A21091">
            <w:pPr>
              <w:widowControl/>
              <w:autoSpaceDE w:val="0"/>
              <w:autoSpaceDN w:val="0"/>
              <w:spacing w:before="120"/>
              <w:textAlignment w:val="bottom"/>
              <w:rPr>
                <w:rFonts w:hAnsi="ＭＳ 明朝"/>
                <w:sz w:val="18"/>
              </w:rPr>
            </w:pPr>
            <w:r w:rsidRPr="003C4A6D">
              <w:rPr>
                <w:rFonts w:hAnsi="ＭＳ 明朝" w:hint="eastAsia"/>
                <w:sz w:val="18"/>
              </w:rPr>
              <w:t xml:space="preserve">　共同研究者がいる場合、研究者名の後にカッコ書きで本属および資格を記載</w:t>
            </w:r>
          </w:p>
          <w:p w:rsidR="004237EA" w:rsidRPr="003C4A6D" w:rsidRDefault="004237EA" w:rsidP="00A21091">
            <w:pPr>
              <w:widowControl/>
              <w:autoSpaceDE w:val="0"/>
              <w:autoSpaceDN w:val="0"/>
              <w:spacing w:before="120"/>
              <w:textAlignment w:val="bottom"/>
              <w:rPr>
                <w:rFonts w:hAnsi="ＭＳ 明朝"/>
                <w:sz w:val="18"/>
              </w:rPr>
            </w:pPr>
            <w:r w:rsidRPr="003C4A6D">
              <w:rPr>
                <w:rFonts w:hAnsi="ＭＳ 明朝" w:hint="eastAsia"/>
                <w:sz w:val="18"/>
              </w:rPr>
              <w:t xml:space="preserve">　例）　</w:t>
            </w:r>
            <w:r>
              <w:rPr>
                <w:rFonts w:hAnsi="ＭＳ 明朝" w:hint="eastAsia"/>
                <w:sz w:val="18"/>
              </w:rPr>
              <w:t xml:space="preserve">化学　二郎（学部　学科　</w:t>
            </w:r>
            <w:r w:rsidRPr="003C4A6D">
              <w:rPr>
                <w:rFonts w:hAnsi="ＭＳ 明朝" w:hint="eastAsia"/>
                <w:sz w:val="18"/>
              </w:rPr>
              <w:t>教授）</w:t>
            </w:r>
          </w:p>
          <w:p w:rsidR="004237EA" w:rsidRPr="003C4A6D" w:rsidRDefault="004237EA" w:rsidP="00A21091">
            <w:pPr>
              <w:widowControl/>
              <w:autoSpaceDE w:val="0"/>
              <w:autoSpaceDN w:val="0"/>
              <w:spacing w:before="120"/>
              <w:textAlignment w:val="bottom"/>
              <w:rPr>
                <w:rFonts w:hAnsi="ＭＳ 明朝"/>
                <w:sz w:val="18"/>
              </w:rPr>
            </w:pPr>
            <w:r>
              <w:rPr>
                <w:rFonts w:hAnsi="ＭＳ 明朝" w:hint="eastAsia"/>
                <w:sz w:val="18"/>
              </w:rPr>
              <w:t xml:space="preserve">　　　　科学　三郎</w:t>
            </w:r>
            <w:r w:rsidRPr="003C4A6D">
              <w:rPr>
                <w:rFonts w:hAnsi="ＭＳ 明朝" w:hint="eastAsia"/>
                <w:sz w:val="18"/>
              </w:rPr>
              <w:t>（分子科学</w:t>
            </w:r>
            <w:r w:rsidR="0040146F">
              <w:rPr>
                <w:rFonts w:hAnsi="ＭＳ 明朝" w:hint="eastAsia"/>
                <w:sz w:val="18"/>
              </w:rPr>
              <w:t xml:space="preserve">研究所　</w:t>
            </w:r>
            <w:r w:rsidRPr="003C4A6D">
              <w:rPr>
                <w:rFonts w:hAnsi="ＭＳ 明朝" w:hint="eastAsia"/>
                <w:sz w:val="18"/>
              </w:rPr>
              <w:t>教授）</w:t>
            </w:r>
          </w:p>
        </w:tc>
        <w:tc>
          <w:tcPr>
            <w:tcW w:w="2916" w:type="dxa"/>
            <w:vMerge/>
            <w:tcBorders>
              <w:right w:val="single" w:sz="12" w:space="0" w:color="auto"/>
            </w:tcBorders>
          </w:tcPr>
          <w:p w:rsidR="004237EA" w:rsidRPr="003C4A6D" w:rsidRDefault="004237EA" w:rsidP="00A21091">
            <w:pPr>
              <w:widowControl/>
              <w:autoSpaceDE w:val="0"/>
              <w:autoSpaceDN w:val="0"/>
              <w:spacing w:before="120"/>
              <w:textAlignment w:val="bottom"/>
              <w:rPr>
                <w:rFonts w:hAnsi="ＭＳ 明朝"/>
                <w:sz w:val="18"/>
              </w:rPr>
            </w:pPr>
          </w:p>
        </w:tc>
      </w:tr>
      <w:tr w:rsidR="00A21091" w:rsidRPr="003C4A6D" w:rsidTr="000E5661">
        <w:tc>
          <w:tcPr>
            <w:tcW w:w="1920" w:type="dxa"/>
            <w:tcBorders>
              <w:left w:val="single" w:sz="12" w:space="0" w:color="auto"/>
            </w:tcBorders>
            <w:vAlign w:val="center"/>
          </w:tcPr>
          <w:p w:rsidR="00A21091" w:rsidRPr="003C4A6D" w:rsidRDefault="00A21091" w:rsidP="000E5661">
            <w:pPr>
              <w:widowControl/>
              <w:autoSpaceDE w:val="0"/>
              <w:autoSpaceDN w:val="0"/>
              <w:spacing w:before="120"/>
              <w:textAlignment w:val="bottom"/>
              <w:rPr>
                <w:rFonts w:hAnsi="ＭＳ 明朝"/>
              </w:rPr>
            </w:pPr>
            <w:r w:rsidRPr="003C4A6D">
              <w:rPr>
                <w:rFonts w:hAnsi="ＭＳ 明朝" w:hint="eastAsia"/>
              </w:rPr>
              <w:t>4</w:t>
            </w:r>
            <w:r w:rsidRPr="003C4A6D">
              <w:rPr>
                <w:rFonts w:hAnsi="ＭＳ 明朝" w:hint="eastAsia"/>
              </w:rPr>
              <w:t>．研究業績</w:t>
            </w:r>
          </w:p>
        </w:tc>
        <w:tc>
          <w:tcPr>
            <w:tcW w:w="5244" w:type="dxa"/>
          </w:tcPr>
          <w:p w:rsidR="00A21091" w:rsidRPr="003C4A6D" w:rsidRDefault="00A21091" w:rsidP="00A21091">
            <w:pPr>
              <w:widowControl/>
              <w:autoSpaceDE w:val="0"/>
              <w:autoSpaceDN w:val="0"/>
              <w:spacing w:before="120"/>
              <w:textAlignment w:val="bottom"/>
              <w:rPr>
                <w:rFonts w:hAnsi="ＭＳ 明朝"/>
                <w:sz w:val="18"/>
              </w:rPr>
            </w:pPr>
            <w:r>
              <w:rPr>
                <w:rFonts w:hAnsi="ＭＳ 明朝" w:hint="eastAsia"/>
                <w:sz w:val="18"/>
              </w:rPr>
              <w:t>該当年度中</w:t>
            </w:r>
            <w:r w:rsidRPr="003C4A6D">
              <w:rPr>
                <w:rFonts w:hAnsi="ＭＳ 明朝" w:hint="eastAsia"/>
                <w:sz w:val="18"/>
              </w:rPr>
              <w:t>に掲載、出版、開催等された（掲載予定も含む）ものを記入</w:t>
            </w:r>
          </w:p>
          <w:p w:rsidR="00A21091" w:rsidRDefault="00A21091" w:rsidP="00A21091">
            <w:pPr>
              <w:widowControl/>
              <w:autoSpaceDE w:val="0"/>
              <w:autoSpaceDN w:val="0"/>
              <w:spacing w:before="120"/>
              <w:textAlignment w:val="bottom"/>
              <w:rPr>
                <w:rFonts w:hAnsi="ＭＳ 明朝"/>
                <w:sz w:val="18"/>
              </w:rPr>
            </w:pPr>
            <w:r w:rsidRPr="003C4A6D">
              <w:rPr>
                <w:rFonts w:hAnsi="ＭＳ 明朝" w:hint="eastAsia"/>
                <w:sz w:val="18"/>
              </w:rPr>
              <w:lastRenderedPageBreak/>
              <w:t>見本原稿の通り、主に</w:t>
            </w:r>
            <w:r w:rsidRPr="003C4A6D">
              <w:rPr>
                <w:rFonts w:hAnsi="ＭＳ 明朝" w:hint="eastAsia"/>
                <w:sz w:val="18"/>
              </w:rPr>
              <w:t>5</w:t>
            </w:r>
            <w:r w:rsidRPr="003C4A6D">
              <w:rPr>
                <w:rFonts w:hAnsi="ＭＳ 明朝" w:hint="eastAsia"/>
                <w:sz w:val="18"/>
              </w:rPr>
              <w:t>項目（学術論文／総説・著書／</w:t>
            </w:r>
            <w:r w:rsidRPr="003C4A6D">
              <w:rPr>
                <w:rFonts w:hAnsi="ＭＳ 明朝" w:hint="eastAsia"/>
                <w:sz w:val="18"/>
              </w:rPr>
              <w:t>(</w:t>
            </w:r>
            <w:r w:rsidRPr="003C4A6D">
              <w:rPr>
                <w:rFonts w:hAnsi="ＭＳ 明朝" w:hint="eastAsia"/>
                <w:sz w:val="18"/>
              </w:rPr>
              <w:t>招待</w:t>
            </w:r>
            <w:r w:rsidRPr="003C4A6D">
              <w:rPr>
                <w:rFonts w:hAnsi="ＭＳ 明朝" w:hint="eastAsia"/>
                <w:sz w:val="18"/>
              </w:rPr>
              <w:t>)</w:t>
            </w:r>
            <w:r w:rsidRPr="003C4A6D">
              <w:rPr>
                <w:rFonts w:hAnsi="ＭＳ 明朝" w:hint="eastAsia"/>
                <w:sz w:val="18"/>
              </w:rPr>
              <w:t>講演／受賞・表彰／学会および社会的活動）に分ける。それ以外の項目を必要とする場合、適宜、内容に併せた項目を設定すること</w:t>
            </w:r>
          </w:p>
          <w:p w:rsidR="00A21091" w:rsidRDefault="00A21091" w:rsidP="009E5CA6">
            <w:pPr>
              <w:widowControl/>
              <w:autoSpaceDE w:val="0"/>
              <w:autoSpaceDN w:val="0"/>
              <w:spacing w:before="120"/>
              <w:ind w:left="180" w:hangingChars="100" w:hanging="180"/>
              <w:textAlignment w:val="bottom"/>
              <w:rPr>
                <w:rFonts w:hAnsi="ＭＳ 明朝"/>
                <w:sz w:val="18"/>
              </w:rPr>
            </w:pPr>
            <w:r>
              <w:rPr>
                <w:rFonts w:hAnsi="ＭＳ 明朝" w:hint="eastAsia"/>
                <w:sz w:val="18"/>
              </w:rPr>
              <w:t>※「理工</w:t>
            </w:r>
            <w:r w:rsidR="00A13F2E">
              <w:rPr>
                <w:rFonts w:hAnsi="ＭＳ 明朝" w:hint="eastAsia"/>
                <w:sz w:val="18"/>
              </w:rPr>
              <w:t>総</w:t>
            </w:r>
            <w:r>
              <w:rPr>
                <w:rFonts w:hAnsi="ＭＳ 明朝" w:hint="eastAsia"/>
                <w:sz w:val="18"/>
              </w:rPr>
              <w:t>研における研究業績リスト」とは、学外発表論文、叢書およびテクニカルレポート等において、下記</w:t>
            </w:r>
            <w:r>
              <w:rPr>
                <w:rFonts w:hAnsi="ＭＳ 明朝" w:hint="eastAsia"/>
                <w:sz w:val="18"/>
              </w:rPr>
              <w:t>(1)</w:t>
            </w:r>
            <w:r>
              <w:rPr>
                <w:rFonts w:hAnsi="ＭＳ 明朝" w:hint="eastAsia"/>
                <w:sz w:val="18"/>
              </w:rPr>
              <w:t>、</w:t>
            </w:r>
            <w:r>
              <w:rPr>
                <w:rFonts w:hAnsi="ＭＳ 明朝" w:hint="eastAsia"/>
                <w:sz w:val="18"/>
              </w:rPr>
              <w:t>(2)</w:t>
            </w:r>
            <w:r>
              <w:rPr>
                <w:rFonts w:hAnsi="ＭＳ 明朝" w:hint="eastAsia"/>
                <w:sz w:val="18"/>
              </w:rPr>
              <w:t>のいずれかの形式で示した研究業績のことをいいます。</w:t>
            </w:r>
          </w:p>
          <w:p w:rsidR="00A21091" w:rsidRDefault="00A21091" w:rsidP="00A21091">
            <w:pPr>
              <w:widowControl/>
              <w:autoSpaceDE w:val="0"/>
              <w:autoSpaceDN w:val="0"/>
              <w:spacing w:before="120"/>
              <w:textAlignment w:val="bottom"/>
              <w:rPr>
                <w:rFonts w:hAnsi="ＭＳ 明朝"/>
                <w:sz w:val="18"/>
              </w:rPr>
            </w:pPr>
            <w:r>
              <w:rPr>
                <w:rFonts w:hAnsi="ＭＳ 明朝" w:hint="eastAsia"/>
                <w:sz w:val="18"/>
              </w:rPr>
              <w:t>（記入例）</w:t>
            </w:r>
          </w:p>
          <w:p w:rsidR="00A21091" w:rsidRDefault="00A21091" w:rsidP="00A21091">
            <w:pPr>
              <w:widowControl/>
              <w:numPr>
                <w:ilvl w:val="0"/>
                <w:numId w:val="11"/>
              </w:numPr>
              <w:autoSpaceDE w:val="0"/>
              <w:autoSpaceDN w:val="0"/>
              <w:adjustRightInd w:val="0"/>
              <w:spacing w:before="120"/>
              <w:textAlignment w:val="bottom"/>
              <w:rPr>
                <w:rFonts w:hAnsi="ＭＳ 明朝"/>
                <w:sz w:val="18"/>
              </w:rPr>
            </w:pPr>
            <w:r>
              <w:rPr>
                <w:rFonts w:hAnsi="ＭＳ 明朝" w:hint="eastAsia"/>
                <w:sz w:val="18"/>
              </w:rPr>
              <w:t>著者の所属に理工</w:t>
            </w:r>
            <w:r w:rsidR="00A13F2E">
              <w:rPr>
                <w:rFonts w:hAnsi="ＭＳ 明朝" w:hint="eastAsia"/>
                <w:sz w:val="18"/>
              </w:rPr>
              <w:t>総</w:t>
            </w:r>
            <w:r>
              <w:rPr>
                <w:rFonts w:hAnsi="ＭＳ 明朝" w:hint="eastAsia"/>
                <w:sz w:val="18"/>
              </w:rPr>
              <w:t>研を明記したもの</w:t>
            </w:r>
          </w:p>
          <w:p w:rsidR="00A21091" w:rsidRDefault="00A21091" w:rsidP="00A21091">
            <w:pPr>
              <w:widowControl/>
              <w:autoSpaceDE w:val="0"/>
              <w:autoSpaceDN w:val="0"/>
              <w:spacing w:before="120"/>
              <w:textAlignment w:val="bottom"/>
              <w:rPr>
                <w:rFonts w:hAnsi="ＭＳ 明朝"/>
                <w:sz w:val="18"/>
              </w:rPr>
            </w:pPr>
            <w:r>
              <w:rPr>
                <w:rFonts w:hAnsi="ＭＳ 明朝" w:hint="eastAsia"/>
                <w:sz w:val="18"/>
              </w:rPr>
              <w:t>「論文名」：○○○○○関する研究</w:t>
            </w:r>
          </w:p>
          <w:p w:rsidR="00A21091" w:rsidRDefault="00A21091" w:rsidP="00A21091">
            <w:pPr>
              <w:widowControl/>
              <w:autoSpaceDE w:val="0"/>
              <w:autoSpaceDN w:val="0"/>
              <w:spacing w:before="120"/>
              <w:textAlignment w:val="bottom"/>
              <w:rPr>
                <w:rFonts w:hAnsi="ＭＳ 明朝"/>
                <w:sz w:val="18"/>
              </w:rPr>
            </w:pPr>
            <w:r>
              <w:rPr>
                <w:rFonts w:hAnsi="ＭＳ 明朝" w:hint="eastAsia"/>
                <w:sz w:val="18"/>
              </w:rPr>
              <w:t>「著者名」：早稲田太郎</w:t>
            </w:r>
          </w:p>
          <w:p w:rsidR="00A21091" w:rsidRDefault="00A21091" w:rsidP="00A21091">
            <w:pPr>
              <w:widowControl/>
              <w:autoSpaceDE w:val="0"/>
              <w:autoSpaceDN w:val="0"/>
              <w:spacing w:before="120"/>
              <w:ind w:firstLineChars="500" w:firstLine="898"/>
              <w:textAlignment w:val="bottom"/>
              <w:rPr>
                <w:rFonts w:hAnsi="ＭＳ 明朝"/>
                <w:sz w:val="18"/>
              </w:rPr>
            </w:pPr>
            <w:r>
              <w:rPr>
                <w:rFonts w:hAnsi="ＭＳ 明朝" w:hint="eastAsia"/>
                <w:sz w:val="18"/>
              </w:rPr>
              <w:t>（早稲田大学創造理工学部・理工学</w:t>
            </w:r>
            <w:r w:rsidR="00A13F2E">
              <w:rPr>
                <w:rFonts w:hAnsi="ＭＳ 明朝" w:hint="eastAsia"/>
                <w:sz w:val="18"/>
              </w:rPr>
              <w:t>術院総合</w:t>
            </w:r>
            <w:r>
              <w:rPr>
                <w:rFonts w:hAnsi="ＭＳ 明朝" w:hint="eastAsia"/>
                <w:sz w:val="18"/>
              </w:rPr>
              <w:t>研究所）</w:t>
            </w:r>
          </w:p>
          <w:p w:rsidR="00A21091" w:rsidRDefault="00A21091" w:rsidP="00A21091">
            <w:pPr>
              <w:widowControl/>
              <w:numPr>
                <w:ilvl w:val="0"/>
                <w:numId w:val="11"/>
              </w:numPr>
              <w:autoSpaceDE w:val="0"/>
              <w:autoSpaceDN w:val="0"/>
              <w:adjustRightInd w:val="0"/>
              <w:spacing w:before="120"/>
              <w:textAlignment w:val="bottom"/>
              <w:rPr>
                <w:rFonts w:hAnsi="ＭＳ 明朝"/>
                <w:sz w:val="18"/>
              </w:rPr>
            </w:pPr>
            <w:r>
              <w:rPr>
                <w:rFonts w:hAnsi="ＭＳ 明朝" w:hint="eastAsia"/>
                <w:sz w:val="18"/>
              </w:rPr>
              <w:t>論文等の脚注あるいは謝辞の中でその旨を明記したもの</w:t>
            </w:r>
          </w:p>
          <w:p w:rsidR="00A21091" w:rsidRPr="003C4A6D" w:rsidRDefault="00A21091" w:rsidP="00A21091">
            <w:pPr>
              <w:widowControl/>
              <w:autoSpaceDE w:val="0"/>
              <w:autoSpaceDN w:val="0"/>
              <w:spacing w:before="120"/>
              <w:textAlignment w:val="bottom"/>
              <w:rPr>
                <w:rFonts w:hAnsi="ＭＳ 明朝"/>
                <w:sz w:val="18"/>
              </w:rPr>
            </w:pPr>
            <w:r>
              <w:rPr>
                <w:rFonts w:hAnsi="ＭＳ 明朝" w:hint="eastAsia"/>
                <w:sz w:val="18"/>
              </w:rPr>
              <w:t>本研究成果の一部は理工</w:t>
            </w:r>
            <w:r w:rsidR="00A13F2E">
              <w:rPr>
                <w:rFonts w:hAnsi="ＭＳ 明朝" w:hint="eastAsia"/>
                <w:sz w:val="18"/>
              </w:rPr>
              <w:t>総</w:t>
            </w:r>
            <w:bookmarkStart w:id="0" w:name="_GoBack"/>
            <w:bookmarkEnd w:id="0"/>
            <w:r>
              <w:rPr>
                <w:rFonts w:hAnsi="ＭＳ 明朝" w:hint="eastAsia"/>
                <w:sz w:val="18"/>
              </w:rPr>
              <w:t>研プロジェクト研究「○○○」の一環として行われたものである。</w:t>
            </w:r>
          </w:p>
        </w:tc>
        <w:tc>
          <w:tcPr>
            <w:tcW w:w="2916" w:type="dxa"/>
            <w:tcBorders>
              <w:right w:val="single" w:sz="12" w:space="0" w:color="auto"/>
            </w:tcBorders>
            <w:vAlign w:val="center"/>
          </w:tcPr>
          <w:p w:rsidR="0040146F" w:rsidRDefault="0040146F" w:rsidP="0040146F">
            <w:pPr>
              <w:widowControl/>
              <w:autoSpaceDE w:val="0"/>
              <w:autoSpaceDN w:val="0"/>
              <w:spacing w:before="120"/>
              <w:textAlignment w:val="bottom"/>
              <w:rPr>
                <w:rFonts w:hAnsi="ＭＳ 明朝"/>
                <w:sz w:val="18"/>
              </w:rPr>
            </w:pPr>
            <w:r>
              <w:rPr>
                <w:rFonts w:hAnsi="ＭＳ 明朝" w:hint="eastAsia"/>
                <w:sz w:val="18"/>
              </w:rPr>
              <w:lastRenderedPageBreak/>
              <w:t>【見出し】</w:t>
            </w:r>
          </w:p>
          <w:p w:rsidR="0040146F" w:rsidRPr="003C4A6D" w:rsidRDefault="0040146F" w:rsidP="0040146F">
            <w:pPr>
              <w:widowControl/>
              <w:autoSpaceDE w:val="0"/>
              <w:autoSpaceDN w:val="0"/>
              <w:spacing w:before="120"/>
              <w:ind w:firstLineChars="100" w:firstLine="180"/>
              <w:textAlignment w:val="bottom"/>
              <w:rPr>
                <w:rFonts w:hAnsi="ＭＳ 明朝"/>
                <w:sz w:val="18"/>
              </w:rPr>
            </w:pPr>
            <w:r w:rsidRPr="003C4A6D">
              <w:rPr>
                <w:rFonts w:hAnsi="ＭＳ 明朝" w:hint="eastAsia"/>
                <w:sz w:val="18"/>
              </w:rPr>
              <w:t>MS</w:t>
            </w:r>
            <w:r w:rsidRPr="003C4A6D">
              <w:rPr>
                <w:rFonts w:hAnsi="ＭＳ 明朝" w:hint="eastAsia"/>
                <w:sz w:val="18"/>
              </w:rPr>
              <w:t>ゴシック</w:t>
            </w:r>
            <w:r>
              <w:rPr>
                <w:rFonts w:hAnsi="ＭＳ 明朝" w:hint="eastAsia"/>
                <w:sz w:val="18"/>
              </w:rPr>
              <w:t>、太字、</w:t>
            </w:r>
            <w:r w:rsidRPr="003C4A6D">
              <w:rPr>
                <w:rFonts w:hAnsi="ＭＳ 明朝" w:hint="eastAsia"/>
                <w:sz w:val="18"/>
              </w:rPr>
              <w:t>11</w:t>
            </w:r>
            <w:r w:rsidRPr="003C4A6D">
              <w:rPr>
                <w:rFonts w:hAnsi="ＭＳ 明朝" w:hint="eastAsia"/>
                <w:sz w:val="18"/>
              </w:rPr>
              <w:t>ポイント</w:t>
            </w:r>
          </w:p>
          <w:p w:rsidR="0040146F" w:rsidRDefault="0040146F" w:rsidP="0040146F">
            <w:pPr>
              <w:widowControl/>
              <w:autoSpaceDE w:val="0"/>
              <w:autoSpaceDN w:val="0"/>
              <w:spacing w:before="120"/>
              <w:textAlignment w:val="bottom"/>
              <w:rPr>
                <w:rFonts w:hAnsi="ＭＳ 明朝"/>
                <w:sz w:val="18"/>
              </w:rPr>
            </w:pPr>
            <w:r>
              <w:rPr>
                <w:rFonts w:hAnsi="ＭＳ 明朝" w:hint="eastAsia"/>
                <w:sz w:val="18"/>
              </w:rPr>
              <w:lastRenderedPageBreak/>
              <w:t>【小見出し】</w:t>
            </w:r>
          </w:p>
          <w:p w:rsidR="0040146F" w:rsidRDefault="0040146F" w:rsidP="0040146F">
            <w:pPr>
              <w:widowControl/>
              <w:autoSpaceDE w:val="0"/>
              <w:autoSpaceDN w:val="0"/>
              <w:spacing w:before="120"/>
              <w:textAlignment w:val="bottom"/>
              <w:rPr>
                <w:rFonts w:hAnsi="ＭＳ 明朝"/>
                <w:sz w:val="18"/>
              </w:rPr>
            </w:pPr>
            <w:r w:rsidRPr="003C4A6D">
              <w:rPr>
                <w:rFonts w:hAnsi="ＭＳ 明朝" w:hint="eastAsia"/>
                <w:sz w:val="18"/>
              </w:rPr>
              <w:t>MS</w:t>
            </w:r>
            <w:r>
              <w:rPr>
                <w:rFonts w:hAnsi="ＭＳ 明朝" w:hint="eastAsia"/>
                <w:sz w:val="18"/>
              </w:rPr>
              <w:t>明朝体、</w:t>
            </w:r>
            <w:r w:rsidRPr="003C4A6D">
              <w:rPr>
                <w:rFonts w:hAnsi="ＭＳ 明朝" w:hint="eastAsia"/>
                <w:sz w:val="18"/>
              </w:rPr>
              <w:t>11</w:t>
            </w:r>
            <w:r w:rsidRPr="003C4A6D">
              <w:rPr>
                <w:rFonts w:hAnsi="ＭＳ 明朝" w:hint="eastAsia"/>
                <w:sz w:val="18"/>
              </w:rPr>
              <w:t>ポイント</w:t>
            </w:r>
          </w:p>
          <w:p w:rsidR="0040146F" w:rsidRDefault="0040146F" w:rsidP="0040146F">
            <w:pPr>
              <w:widowControl/>
              <w:autoSpaceDE w:val="0"/>
              <w:autoSpaceDN w:val="0"/>
              <w:spacing w:before="120"/>
              <w:textAlignment w:val="bottom"/>
              <w:rPr>
                <w:rFonts w:hAnsi="ＭＳ 明朝"/>
                <w:sz w:val="18"/>
              </w:rPr>
            </w:pPr>
            <w:r>
              <w:rPr>
                <w:rFonts w:hAnsi="ＭＳ 明朝" w:hint="eastAsia"/>
                <w:sz w:val="18"/>
              </w:rPr>
              <w:t>【</w:t>
            </w:r>
            <w:r w:rsidRPr="003C4A6D">
              <w:rPr>
                <w:rFonts w:hAnsi="ＭＳ 明朝" w:hint="eastAsia"/>
                <w:sz w:val="18"/>
              </w:rPr>
              <w:t>内容</w:t>
            </w:r>
            <w:r>
              <w:rPr>
                <w:rFonts w:hAnsi="ＭＳ 明朝" w:hint="eastAsia"/>
                <w:sz w:val="18"/>
              </w:rPr>
              <w:t>】</w:t>
            </w:r>
          </w:p>
          <w:p w:rsidR="0040146F" w:rsidRPr="003C4A6D" w:rsidRDefault="0040146F" w:rsidP="0040146F">
            <w:pPr>
              <w:widowControl/>
              <w:autoSpaceDE w:val="0"/>
              <w:autoSpaceDN w:val="0"/>
              <w:spacing w:before="120"/>
              <w:textAlignment w:val="bottom"/>
              <w:rPr>
                <w:rFonts w:hAnsi="ＭＳ 明朝"/>
                <w:sz w:val="18"/>
              </w:rPr>
            </w:pPr>
            <w:r w:rsidRPr="003C4A6D">
              <w:rPr>
                <w:rFonts w:hAnsi="ＭＳ 明朝" w:hint="eastAsia"/>
                <w:sz w:val="18"/>
              </w:rPr>
              <w:t>Century</w:t>
            </w:r>
            <w:r>
              <w:rPr>
                <w:rFonts w:hAnsi="ＭＳ 明朝" w:hint="eastAsia"/>
                <w:sz w:val="18"/>
              </w:rPr>
              <w:t>体、</w:t>
            </w:r>
            <w:r w:rsidRPr="003C4A6D">
              <w:rPr>
                <w:rFonts w:hAnsi="ＭＳ 明朝" w:hint="eastAsia"/>
                <w:sz w:val="18"/>
              </w:rPr>
              <w:t>11</w:t>
            </w:r>
            <w:r w:rsidRPr="003C4A6D">
              <w:rPr>
                <w:rFonts w:hAnsi="ＭＳ 明朝" w:hint="eastAsia"/>
                <w:sz w:val="18"/>
              </w:rPr>
              <w:t>ポイント</w:t>
            </w:r>
          </w:p>
        </w:tc>
      </w:tr>
      <w:tr w:rsidR="00A21091" w:rsidRPr="003C4A6D" w:rsidTr="00FA4B8C">
        <w:tc>
          <w:tcPr>
            <w:tcW w:w="1920" w:type="dxa"/>
            <w:tcBorders>
              <w:left w:val="single" w:sz="12" w:space="0" w:color="auto"/>
              <w:bottom w:val="single" w:sz="12" w:space="0" w:color="auto"/>
            </w:tcBorders>
          </w:tcPr>
          <w:p w:rsidR="00A21091" w:rsidRPr="003C4A6D" w:rsidRDefault="00A21091" w:rsidP="00A21091">
            <w:pPr>
              <w:widowControl/>
              <w:autoSpaceDE w:val="0"/>
              <w:autoSpaceDN w:val="0"/>
              <w:spacing w:before="120"/>
              <w:textAlignment w:val="bottom"/>
              <w:rPr>
                <w:rFonts w:hAnsi="ＭＳ 明朝"/>
              </w:rPr>
            </w:pPr>
            <w:r w:rsidRPr="003C4A6D">
              <w:rPr>
                <w:rFonts w:hAnsi="ＭＳ 明朝" w:hint="eastAsia"/>
              </w:rPr>
              <w:lastRenderedPageBreak/>
              <w:t>5</w:t>
            </w:r>
            <w:r w:rsidRPr="003C4A6D">
              <w:rPr>
                <w:rFonts w:hAnsi="ＭＳ 明朝" w:hint="eastAsia"/>
              </w:rPr>
              <w:t>．研究活動の課題と展望</w:t>
            </w:r>
          </w:p>
        </w:tc>
        <w:tc>
          <w:tcPr>
            <w:tcW w:w="5244" w:type="dxa"/>
            <w:tcBorders>
              <w:bottom w:val="single" w:sz="12" w:space="0" w:color="auto"/>
            </w:tcBorders>
          </w:tcPr>
          <w:p w:rsidR="00A21091" w:rsidRPr="003C4A6D" w:rsidRDefault="00A21091" w:rsidP="00A21091">
            <w:pPr>
              <w:widowControl/>
              <w:autoSpaceDE w:val="0"/>
              <w:autoSpaceDN w:val="0"/>
              <w:spacing w:before="120"/>
              <w:textAlignment w:val="bottom"/>
              <w:rPr>
                <w:rFonts w:hAnsi="ＭＳ 明朝"/>
                <w:sz w:val="18"/>
              </w:rPr>
            </w:pPr>
            <w:r w:rsidRPr="003C4A6D">
              <w:rPr>
                <w:rFonts w:hAnsi="ＭＳ 明朝" w:hint="eastAsia"/>
                <w:sz w:val="18"/>
              </w:rPr>
              <w:t>研究活動の課題と展望を記載する</w:t>
            </w:r>
          </w:p>
        </w:tc>
        <w:tc>
          <w:tcPr>
            <w:tcW w:w="2916" w:type="dxa"/>
            <w:tcBorders>
              <w:bottom w:val="single" w:sz="12" w:space="0" w:color="auto"/>
              <w:right w:val="single" w:sz="12" w:space="0" w:color="auto"/>
            </w:tcBorders>
          </w:tcPr>
          <w:p w:rsidR="0040146F" w:rsidRDefault="0040146F" w:rsidP="0040146F">
            <w:pPr>
              <w:widowControl/>
              <w:autoSpaceDE w:val="0"/>
              <w:autoSpaceDN w:val="0"/>
              <w:spacing w:before="120"/>
              <w:textAlignment w:val="bottom"/>
              <w:rPr>
                <w:rFonts w:hAnsi="ＭＳ 明朝"/>
                <w:sz w:val="18"/>
              </w:rPr>
            </w:pPr>
            <w:r>
              <w:rPr>
                <w:rFonts w:hAnsi="ＭＳ 明朝" w:hint="eastAsia"/>
                <w:sz w:val="18"/>
              </w:rPr>
              <w:t>【見出し】</w:t>
            </w:r>
          </w:p>
          <w:p w:rsidR="0040146F" w:rsidRPr="003C4A6D" w:rsidRDefault="0040146F" w:rsidP="0040146F">
            <w:pPr>
              <w:widowControl/>
              <w:autoSpaceDE w:val="0"/>
              <w:autoSpaceDN w:val="0"/>
              <w:spacing w:before="120"/>
              <w:ind w:firstLineChars="100" w:firstLine="180"/>
              <w:textAlignment w:val="bottom"/>
              <w:rPr>
                <w:rFonts w:hAnsi="ＭＳ 明朝"/>
                <w:sz w:val="18"/>
              </w:rPr>
            </w:pPr>
            <w:r w:rsidRPr="003C4A6D">
              <w:rPr>
                <w:rFonts w:hAnsi="ＭＳ 明朝" w:hint="eastAsia"/>
                <w:sz w:val="18"/>
              </w:rPr>
              <w:t>MS</w:t>
            </w:r>
            <w:r w:rsidRPr="003C4A6D">
              <w:rPr>
                <w:rFonts w:hAnsi="ＭＳ 明朝" w:hint="eastAsia"/>
                <w:sz w:val="18"/>
              </w:rPr>
              <w:t>ゴシック</w:t>
            </w:r>
            <w:r>
              <w:rPr>
                <w:rFonts w:hAnsi="ＭＳ 明朝" w:hint="eastAsia"/>
                <w:sz w:val="18"/>
              </w:rPr>
              <w:t>、太字、</w:t>
            </w:r>
            <w:r w:rsidRPr="003C4A6D">
              <w:rPr>
                <w:rFonts w:hAnsi="ＭＳ 明朝" w:hint="eastAsia"/>
                <w:sz w:val="18"/>
              </w:rPr>
              <w:t>11</w:t>
            </w:r>
            <w:r w:rsidRPr="003C4A6D">
              <w:rPr>
                <w:rFonts w:hAnsi="ＭＳ 明朝" w:hint="eastAsia"/>
                <w:sz w:val="18"/>
              </w:rPr>
              <w:t>ポイント</w:t>
            </w:r>
          </w:p>
          <w:p w:rsidR="0040146F" w:rsidRDefault="0040146F" w:rsidP="0040146F">
            <w:pPr>
              <w:widowControl/>
              <w:autoSpaceDE w:val="0"/>
              <w:autoSpaceDN w:val="0"/>
              <w:spacing w:before="120"/>
              <w:textAlignment w:val="bottom"/>
              <w:rPr>
                <w:rFonts w:hAnsi="ＭＳ 明朝"/>
                <w:sz w:val="18"/>
              </w:rPr>
            </w:pPr>
            <w:r>
              <w:rPr>
                <w:rFonts w:hAnsi="ＭＳ 明朝" w:hint="eastAsia"/>
                <w:sz w:val="18"/>
              </w:rPr>
              <w:t>【</w:t>
            </w:r>
            <w:r w:rsidRPr="003C4A6D">
              <w:rPr>
                <w:rFonts w:hAnsi="ＭＳ 明朝" w:hint="eastAsia"/>
                <w:sz w:val="18"/>
              </w:rPr>
              <w:t>本文</w:t>
            </w:r>
            <w:r>
              <w:rPr>
                <w:rFonts w:hAnsi="ＭＳ 明朝" w:hint="eastAsia"/>
                <w:sz w:val="18"/>
              </w:rPr>
              <w:t>】</w:t>
            </w:r>
          </w:p>
          <w:p w:rsidR="00A21091" w:rsidRPr="003C4A6D" w:rsidRDefault="0040146F" w:rsidP="0040146F">
            <w:pPr>
              <w:widowControl/>
              <w:autoSpaceDE w:val="0"/>
              <w:autoSpaceDN w:val="0"/>
              <w:spacing w:before="120"/>
              <w:textAlignment w:val="bottom"/>
              <w:rPr>
                <w:rFonts w:hAnsi="ＭＳ 明朝"/>
                <w:sz w:val="18"/>
              </w:rPr>
            </w:pPr>
            <w:r w:rsidRPr="003C4A6D">
              <w:rPr>
                <w:rFonts w:hAnsi="ＭＳ 明朝" w:hint="eastAsia"/>
                <w:sz w:val="18"/>
              </w:rPr>
              <w:t>MS</w:t>
            </w:r>
            <w:r>
              <w:rPr>
                <w:rFonts w:hAnsi="ＭＳ 明朝" w:hint="eastAsia"/>
                <w:sz w:val="18"/>
              </w:rPr>
              <w:t>明朝体、</w:t>
            </w:r>
            <w:r w:rsidRPr="003C4A6D">
              <w:rPr>
                <w:rFonts w:hAnsi="ＭＳ 明朝" w:hint="eastAsia"/>
                <w:sz w:val="18"/>
              </w:rPr>
              <w:t>11</w:t>
            </w:r>
            <w:r w:rsidRPr="003C4A6D">
              <w:rPr>
                <w:rFonts w:hAnsi="ＭＳ 明朝" w:hint="eastAsia"/>
                <w:sz w:val="18"/>
              </w:rPr>
              <w:t>ポイント</w:t>
            </w:r>
          </w:p>
        </w:tc>
      </w:tr>
    </w:tbl>
    <w:p w:rsidR="00AD2282" w:rsidRDefault="00AD2282" w:rsidP="00AD2282">
      <w:pPr>
        <w:widowControl/>
        <w:autoSpaceDE w:val="0"/>
        <w:autoSpaceDN w:val="0"/>
        <w:spacing w:before="120"/>
        <w:textAlignment w:val="bottom"/>
        <w:rPr>
          <w:rFonts w:hAnsi="ＭＳ 明朝"/>
          <w:sz w:val="20"/>
        </w:rPr>
        <w:sectPr w:rsidR="00AD2282" w:rsidSect="0094034A">
          <w:headerReference w:type="default" r:id="rId9"/>
          <w:pgSz w:w="11906" w:h="16838" w:code="9"/>
          <w:pgMar w:top="1474" w:right="1021" w:bottom="1814" w:left="1247" w:header="851" w:footer="992" w:gutter="0"/>
          <w:cols w:space="425"/>
          <w:docGrid w:type="linesAndChars" w:linePitch="330" w:charSpace="-98"/>
        </w:sectPr>
      </w:pPr>
    </w:p>
    <w:p w:rsidR="00931A0D" w:rsidRPr="00AD0251" w:rsidRDefault="00043BAA" w:rsidP="00AD0251">
      <w:pPr>
        <w:widowControl/>
        <w:autoSpaceDE w:val="0"/>
        <w:autoSpaceDN w:val="0"/>
        <w:spacing w:before="120"/>
        <w:textAlignment w:val="bottom"/>
        <w:rPr>
          <w:rFonts w:hAnsi="ＭＳ 明朝"/>
          <w:sz w:val="20"/>
        </w:rPr>
      </w:pPr>
      <w:r>
        <w:rPr>
          <w:rFonts w:eastAsia="ＭＳ ゴシック"/>
          <w:b/>
          <w:noProof/>
          <w:sz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0.45pt;margin-top:-8.1pt;width:2in;height:36pt;z-index:251658752" fillcolor="#369" stroked="f">
            <v:shadow on="t" color="silver" offset="3pt"/>
            <v:textpath style="font-family:&quot;ＭＳ Ｐ明朝&quot;;v-text-reverse:t;v-text-kern:t" trim="t" fitpath="t" string="見本原稿"/>
          </v:shape>
        </w:pict>
      </w:r>
    </w:p>
    <w:p w:rsidR="00931A0D" w:rsidRDefault="00931A0D">
      <w:pPr>
        <w:jc w:val="center"/>
        <w:rPr>
          <w:b/>
          <w:sz w:val="28"/>
        </w:rPr>
      </w:pPr>
      <w:r>
        <w:rPr>
          <w:rFonts w:hint="eastAsia"/>
          <w:b/>
          <w:sz w:val="28"/>
        </w:rPr>
        <w:t>反応ダイナミックスのレーザー制御の研究</w:t>
      </w:r>
    </w:p>
    <w:p w:rsidR="00931A0D" w:rsidRDefault="00931A0D">
      <w:pPr>
        <w:jc w:val="center"/>
        <w:rPr>
          <w:sz w:val="16"/>
        </w:rPr>
      </w:pPr>
    </w:p>
    <w:p w:rsidR="00931A0D" w:rsidRDefault="00931A0D">
      <w:pPr>
        <w:wordWrap w:val="0"/>
        <w:jc w:val="right"/>
        <w:rPr>
          <w:sz w:val="24"/>
        </w:rPr>
      </w:pPr>
      <w:r>
        <w:rPr>
          <w:rFonts w:hint="eastAsia"/>
          <w:sz w:val="24"/>
        </w:rPr>
        <w:t xml:space="preserve">研究代表者　高橋　博彰　</w:t>
      </w:r>
    </w:p>
    <w:p w:rsidR="00931A0D" w:rsidRDefault="00795F77">
      <w:pPr>
        <w:jc w:val="right"/>
        <w:rPr>
          <w:sz w:val="20"/>
        </w:rPr>
      </w:pPr>
      <w:r>
        <w:rPr>
          <w:rFonts w:hint="eastAsia"/>
          <w:sz w:val="24"/>
        </w:rPr>
        <w:t>（</w:t>
      </w:r>
      <w:r w:rsidR="00A14B9A">
        <w:rPr>
          <w:rFonts w:hint="eastAsia"/>
          <w:sz w:val="24"/>
        </w:rPr>
        <w:t>学部</w:t>
      </w:r>
      <w:r>
        <w:rPr>
          <w:rFonts w:hint="eastAsia"/>
          <w:sz w:val="24"/>
        </w:rPr>
        <w:t xml:space="preserve">　</w:t>
      </w:r>
      <w:r w:rsidR="00A14B9A">
        <w:rPr>
          <w:rFonts w:hint="eastAsia"/>
          <w:sz w:val="24"/>
        </w:rPr>
        <w:t xml:space="preserve">学科　</w:t>
      </w:r>
      <w:r w:rsidR="00931A0D">
        <w:rPr>
          <w:rFonts w:hint="eastAsia"/>
          <w:sz w:val="24"/>
        </w:rPr>
        <w:t>教授）</w:t>
      </w:r>
    </w:p>
    <w:p w:rsidR="00931A0D" w:rsidRDefault="00931A0D">
      <w:pPr>
        <w:jc w:val="center"/>
        <w:rPr>
          <w:sz w:val="16"/>
        </w:rPr>
      </w:pPr>
    </w:p>
    <w:p w:rsidR="00931A0D" w:rsidRPr="00392E6C" w:rsidRDefault="00392E6C" w:rsidP="00392E6C">
      <w:pPr>
        <w:pStyle w:val="a9"/>
        <w:numPr>
          <w:ilvl w:val="0"/>
          <w:numId w:val="18"/>
        </w:numPr>
        <w:ind w:leftChars="0"/>
        <w:rPr>
          <w:rFonts w:eastAsia="ＭＳ ゴシック"/>
          <w:b/>
          <w:sz w:val="22"/>
        </w:rPr>
      </w:pPr>
      <w:r w:rsidRPr="00392E6C">
        <w:rPr>
          <w:rFonts w:eastAsia="ＭＳ ゴシック" w:hint="eastAsia"/>
          <w:b/>
          <w:sz w:val="22"/>
        </w:rPr>
        <w:t>１</w:t>
      </w:r>
      <w:r w:rsidR="00931A0D" w:rsidRPr="00392E6C">
        <w:rPr>
          <w:rFonts w:eastAsia="ＭＳ ゴシック" w:hint="eastAsia"/>
          <w:b/>
          <w:sz w:val="22"/>
        </w:rPr>
        <w:t>研究課題</w:t>
      </w:r>
    </w:p>
    <w:p w:rsidR="00931A0D" w:rsidRDefault="00931A0D">
      <w:pPr>
        <w:rPr>
          <w:sz w:val="22"/>
        </w:rPr>
      </w:pPr>
      <w:r>
        <w:rPr>
          <w:rFonts w:hint="eastAsia"/>
          <w:sz w:val="22"/>
        </w:rPr>
        <w:t xml:space="preserve">　分子の電子励起状態の構造とダイナミックスおよび光励起エネルギーの緩和課程を明らかにし光と物質の相互作用を分子レベルで解明することにより、レーザー光による光化学反応の制御の実現を目指す。特に、最低励起一重項状態</w:t>
      </w:r>
      <w:r>
        <w:rPr>
          <w:rFonts w:hint="eastAsia"/>
          <w:sz w:val="22"/>
        </w:rPr>
        <w:t>S</w:t>
      </w:r>
      <w:r>
        <w:rPr>
          <w:rFonts w:hint="eastAsia"/>
          <w:sz w:val="22"/>
          <w:vertAlign w:val="subscript"/>
        </w:rPr>
        <w:t>1</w:t>
      </w:r>
      <w:r>
        <w:rPr>
          <w:rFonts w:hint="eastAsia"/>
          <w:sz w:val="22"/>
        </w:rPr>
        <w:t>と最低励起三重項状態</w:t>
      </w:r>
      <w:r>
        <w:rPr>
          <w:rFonts w:hint="eastAsia"/>
          <w:sz w:val="22"/>
        </w:rPr>
        <w:t>T</w:t>
      </w:r>
      <w:r>
        <w:rPr>
          <w:rFonts w:hint="eastAsia"/>
          <w:sz w:val="22"/>
          <w:vertAlign w:val="subscript"/>
        </w:rPr>
        <w:t>1</w:t>
      </w:r>
      <w:r>
        <w:rPr>
          <w:rFonts w:hint="eastAsia"/>
          <w:sz w:val="22"/>
        </w:rPr>
        <w:t>の構造とダイナミックスに重点を置く。</w:t>
      </w:r>
    </w:p>
    <w:p w:rsidR="00931A0D" w:rsidRDefault="00931A0D"/>
    <w:p w:rsidR="00931A0D" w:rsidRPr="00392E6C" w:rsidRDefault="00931A0D" w:rsidP="00392E6C">
      <w:pPr>
        <w:pStyle w:val="a9"/>
        <w:numPr>
          <w:ilvl w:val="0"/>
          <w:numId w:val="18"/>
        </w:numPr>
        <w:ind w:leftChars="0"/>
        <w:rPr>
          <w:rFonts w:eastAsia="ＭＳ ゴシック"/>
          <w:b/>
          <w:sz w:val="22"/>
        </w:rPr>
      </w:pPr>
      <w:r w:rsidRPr="00392E6C">
        <w:rPr>
          <w:rFonts w:eastAsia="ＭＳ ゴシック" w:hint="eastAsia"/>
          <w:b/>
          <w:sz w:val="22"/>
        </w:rPr>
        <w:t>主な研究成果</w:t>
      </w:r>
    </w:p>
    <w:p w:rsidR="00931A0D" w:rsidRDefault="00931A0D">
      <w:pPr>
        <w:rPr>
          <w:b/>
          <w:sz w:val="22"/>
        </w:rPr>
      </w:pPr>
      <w:r>
        <w:rPr>
          <w:rFonts w:hint="eastAsia"/>
          <w:b/>
          <w:sz w:val="22"/>
        </w:rPr>
        <w:t>2.1</w:t>
      </w:r>
      <w:r>
        <w:rPr>
          <w:rFonts w:hint="eastAsia"/>
          <w:b/>
          <w:sz w:val="22"/>
        </w:rPr>
        <w:t xml:space="preserve">　</w:t>
      </w:r>
      <w:r>
        <w:rPr>
          <w:rFonts w:hint="eastAsia"/>
          <w:b/>
          <w:sz w:val="22"/>
        </w:rPr>
        <w:t>5-</w:t>
      </w:r>
      <w:r>
        <w:rPr>
          <w:rFonts w:hint="eastAsia"/>
          <w:b/>
          <w:sz w:val="22"/>
        </w:rPr>
        <w:t>ジベンゾスベレノンの</w:t>
      </w:r>
      <w:r>
        <w:rPr>
          <w:rFonts w:hint="eastAsia"/>
          <w:b/>
          <w:sz w:val="22"/>
        </w:rPr>
        <w:t>T</w:t>
      </w:r>
      <w:r>
        <w:rPr>
          <w:rFonts w:hint="eastAsia"/>
          <w:b/>
          <w:sz w:val="22"/>
          <w:vertAlign w:val="subscript"/>
        </w:rPr>
        <w:t>1</w:t>
      </w:r>
      <w:r>
        <w:rPr>
          <w:rFonts w:hint="eastAsia"/>
          <w:b/>
          <w:sz w:val="22"/>
        </w:rPr>
        <w:t>状態における振動冷却</w:t>
      </w:r>
    </w:p>
    <w:p w:rsidR="00931A0D" w:rsidRDefault="00931A0D">
      <w:pPr>
        <w:rPr>
          <w:sz w:val="22"/>
        </w:rPr>
      </w:pPr>
      <w:r>
        <w:rPr>
          <w:rFonts w:hint="eastAsia"/>
          <w:sz w:val="22"/>
        </w:rPr>
        <w:t xml:space="preserve">　分子構造が互いに似ている</w:t>
      </w:r>
      <w:r>
        <w:rPr>
          <w:rFonts w:hint="eastAsia"/>
          <w:sz w:val="22"/>
        </w:rPr>
        <w:t>5-</w:t>
      </w:r>
      <w:r>
        <w:rPr>
          <w:rFonts w:hint="eastAsia"/>
          <w:sz w:val="22"/>
        </w:rPr>
        <w:t>ジベンゾスベレノン（</w:t>
      </w:r>
      <w:r>
        <w:rPr>
          <w:rFonts w:hint="eastAsia"/>
          <w:sz w:val="22"/>
        </w:rPr>
        <w:t>DBCH-5-one</w:t>
      </w:r>
      <w:r>
        <w:rPr>
          <w:rFonts w:hint="eastAsia"/>
          <w:sz w:val="22"/>
        </w:rPr>
        <w:t>）、</w:t>
      </w:r>
      <w:r>
        <w:rPr>
          <w:rFonts w:hint="eastAsia"/>
          <w:sz w:val="22"/>
        </w:rPr>
        <w:t>5-</w:t>
      </w:r>
      <w:r>
        <w:rPr>
          <w:rFonts w:hint="eastAsia"/>
          <w:sz w:val="22"/>
        </w:rPr>
        <w:t>ジベンゾスベレン（</w:t>
      </w:r>
      <w:r>
        <w:rPr>
          <w:rFonts w:hint="eastAsia"/>
          <w:sz w:val="22"/>
        </w:rPr>
        <w:t>DBCH</w:t>
      </w:r>
      <w:r>
        <w:rPr>
          <w:rFonts w:hint="eastAsia"/>
          <w:sz w:val="22"/>
        </w:rPr>
        <w:t>）および</w:t>
      </w:r>
      <w:r>
        <w:rPr>
          <w:rFonts w:hint="eastAsia"/>
          <w:sz w:val="22"/>
        </w:rPr>
        <w:t>5-</w:t>
      </w:r>
      <w:r>
        <w:rPr>
          <w:rFonts w:hint="eastAsia"/>
          <w:sz w:val="22"/>
        </w:rPr>
        <w:t>ジベンゾスベレノール</w:t>
      </w:r>
      <w:r>
        <w:rPr>
          <w:rFonts w:hint="eastAsia"/>
          <w:sz w:val="22"/>
        </w:rPr>
        <w:t>(DBCH-5-ol)</w:t>
      </w:r>
      <w:r>
        <w:rPr>
          <w:rFonts w:hint="eastAsia"/>
          <w:sz w:val="22"/>
        </w:rPr>
        <w:t>のナノ秒時間分解紫外可視吸収スペクトルを比較すると，これら</w:t>
      </w:r>
      <w:r>
        <w:rPr>
          <w:rFonts w:hint="eastAsia"/>
          <w:sz w:val="22"/>
        </w:rPr>
        <w:t>3</w:t>
      </w:r>
      <w:r>
        <w:rPr>
          <w:rFonts w:hint="eastAsia"/>
          <w:sz w:val="22"/>
        </w:rPr>
        <w:t>種の化合物はいずれも</w:t>
      </w:r>
      <w:r>
        <w:rPr>
          <w:rFonts w:hint="eastAsia"/>
          <w:sz w:val="22"/>
        </w:rPr>
        <w:t>425 nm</w:t>
      </w:r>
      <w:r>
        <w:rPr>
          <w:rFonts w:hint="eastAsia"/>
          <w:sz w:val="22"/>
        </w:rPr>
        <w:t>付近に</w:t>
      </w:r>
      <w:r>
        <w:rPr>
          <w:rFonts w:hint="eastAsia"/>
          <w:sz w:val="22"/>
        </w:rPr>
        <w:t>T</w:t>
      </w:r>
      <w:r>
        <w:rPr>
          <w:rFonts w:hint="eastAsia"/>
          <w:sz w:val="22"/>
          <w:vertAlign w:val="subscript"/>
        </w:rPr>
        <w:t>1</w:t>
      </w:r>
      <w:r>
        <w:rPr>
          <w:rFonts w:hint="eastAsia"/>
          <w:sz w:val="22"/>
        </w:rPr>
        <w:t>の吸収極大を示す．従って，</w:t>
      </w:r>
      <w:r>
        <w:rPr>
          <w:rFonts w:hint="eastAsia"/>
          <w:sz w:val="22"/>
        </w:rPr>
        <w:t>DBCH-5-one</w:t>
      </w:r>
      <w:r>
        <w:rPr>
          <w:rFonts w:hint="eastAsia"/>
          <w:sz w:val="22"/>
        </w:rPr>
        <w:t>の</w:t>
      </w:r>
      <w:r>
        <w:rPr>
          <w:rFonts w:hint="eastAsia"/>
          <w:sz w:val="22"/>
        </w:rPr>
        <w:t>T</w:t>
      </w:r>
      <w:r>
        <w:rPr>
          <w:rFonts w:hint="eastAsia"/>
          <w:sz w:val="22"/>
          <w:vertAlign w:val="subscript"/>
        </w:rPr>
        <w:t>1</w:t>
      </w:r>
      <w:r>
        <w:rPr>
          <w:rFonts w:hint="eastAsia"/>
          <w:sz w:val="22"/>
        </w:rPr>
        <w:t>はπ－π</w:t>
      </w:r>
      <w:r>
        <w:rPr>
          <w:rFonts w:hint="eastAsia"/>
          <w:sz w:val="22"/>
        </w:rPr>
        <w:t>*</w:t>
      </w:r>
      <w:r>
        <w:rPr>
          <w:rFonts w:hint="eastAsia"/>
          <w:sz w:val="22"/>
        </w:rPr>
        <w:t>状態である．一方，ピコ秒時間分解吸収スペクトルにおいて、</w:t>
      </w:r>
      <w:r>
        <w:rPr>
          <w:rFonts w:hint="eastAsia"/>
          <w:sz w:val="22"/>
        </w:rPr>
        <w:t>DBCH</w:t>
      </w:r>
      <w:r>
        <w:rPr>
          <w:rFonts w:hint="eastAsia"/>
          <w:sz w:val="22"/>
        </w:rPr>
        <w:t>と</w:t>
      </w:r>
      <w:r>
        <w:rPr>
          <w:rFonts w:hint="eastAsia"/>
          <w:sz w:val="22"/>
        </w:rPr>
        <w:t>DBCH-5-ol</w:t>
      </w:r>
      <w:r>
        <w:rPr>
          <w:rFonts w:hint="eastAsia"/>
          <w:sz w:val="22"/>
        </w:rPr>
        <w:t>では</w:t>
      </w:r>
      <w:r>
        <w:rPr>
          <w:rFonts w:hint="eastAsia"/>
          <w:sz w:val="22"/>
        </w:rPr>
        <w:t>S</w:t>
      </w:r>
      <w:r>
        <w:rPr>
          <w:rFonts w:hint="eastAsia"/>
          <w:sz w:val="22"/>
          <w:vertAlign w:val="subscript"/>
        </w:rPr>
        <w:t>1</w:t>
      </w:r>
      <w:r>
        <w:rPr>
          <w:rFonts w:hint="eastAsia"/>
          <w:sz w:val="22"/>
        </w:rPr>
        <w:t>の吸収は</w:t>
      </w:r>
      <w:r>
        <w:rPr>
          <w:rFonts w:hint="eastAsia"/>
          <w:sz w:val="22"/>
        </w:rPr>
        <w:t>600 nm</w:t>
      </w:r>
      <w:r>
        <w:rPr>
          <w:rFonts w:hint="eastAsia"/>
          <w:sz w:val="22"/>
        </w:rPr>
        <w:t>付近に観測されるのに対し，</w:t>
      </w:r>
      <w:r>
        <w:rPr>
          <w:rFonts w:hint="eastAsia"/>
          <w:sz w:val="22"/>
        </w:rPr>
        <w:t>DBCH-5-one</w:t>
      </w:r>
      <w:r>
        <w:rPr>
          <w:rFonts w:hint="eastAsia"/>
          <w:sz w:val="22"/>
        </w:rPr>
        <w:t>では</w:t>
      </w:r>
      <w:r>
        <w:rPr>
          <w:rFonts w:hint="eastAsia"/>
          <w:sz w:val="22"/>
        </w:rPr>
        <w:t>600 nm</w:t>
      </w:r>
      <w:r>
        <w:rPr>
          <w:rFonts w:hint="eastAsia"/>
          <w:sz w:val="22"/>
        </w:rPr>
        <w:t>付近に</w:t>
      </w:r>
      <w:r>
        <w:rPr>
          <w:rFonts w:hint="eastAsia"/>
          <w:sz w:val="22"/>
        </w:rPr>
        <w:t>S</w:t>
      </w:r>
      <w:r>
        <w:rPr>
          <w:rFonts w:hint="eastAsia"/>
          <w:sz w:val="22"/>
          <w:vertAlign w:val="subscript"/>
        </w:rPr>
        <w:t>1</w:t>
      </w:r>
      <w:r>
        <w:rPr>
          <w:rFonts w:hint="eastAsia"/>
          <w:sz w:val="22"/>
        </w:rPr>
        <w:t>の吸収は観測されない．このことから，</w:t>
      </w:r>
      <w:r>
        <w:rPr>
          <w:rFonts w:hint="eastAsia"/>
          <w:sz w:val="22"/>
        </w:rPr>
        <w:t>S</w:t>
      </w:r>
      <w:r>
        <w:rPr>
          <w:rFonts w:hint="eastAsia"/>
          <w:sz w:val="22"/>
          <w:vertAlign w:val="subscript"/>
        </w:rPr>
        <w:t>1</w:t>
      </w:r>
      <w:r>
        <w:rPr>
          <w:rFonts w:hint="eastAsia"/>
          <w:sz w:val="22"/>
        </w:rPr>
        <w:t>は</w:t>
      </w:r>
      <w:r>
        <w:rPr>
          <w:rFonts w:hint="eastAsia"/>
          <w:sz w:val="22"/>
        </w:rPr>
        <w:t>DBCH</w:t>
      </w:r>
      <w:r>
        <w:rPr>
          <w:rFonts w:hint="eastAsia"/>
          <w:sz w:val="22"/>
        </w:rPr>
        <w:t>及び</w:t>
      </w:r>
      <w:r>
        <w:rPr>
          <w:rFonts w:hint="eastAsia"/>
          <w:sz w:val="22"/>
        </w:rPr>
        <w:t>DBCH-5-ol</w:t>
      </w:r>
      <w:r>
        <w:rPr>
          <w:rFonts w:hint="eastAsia"/>
          <w:sz w:val="22"/>
        </w:rPr>
        <w:t>ではπ－π</w:t>
      </w:r>
      <w:r>
        <w:rPr>
          <w:rFonts w:hint="eastAsia"/>
          <w:sz w:val="22"/>
        </w:rPr>
        <w:t>*</w:t>
      </w:r>
      <w:r>
        <w:rPr>
          <w:rFonts w:hint="eastAsia"/>
          <w:sz w:val="22"/>
        </w:rPr>
        <w:t>状態であるのに対し，</w:t>
      </w:r>
      <w:r>
        <w:rPr>
          <w:rFonts w:hint="eastAsia"/>
          <w:sz w:val="22"/>
        </w:rPr>
        <w:t>DBCH-5-one</w:t>
      </w:r>
      <w:r>
        <w:rPr>
          <w:rFonts w:hint="eastAsia"/>
          <w:sz w:val="22"/>
        </w:rPr>
        <w:t>では</w:t>
      </w:r>
      <w:r>
        <w:rPr>
          <w:rFonts w:hint="eastAsia"/>
          <w:sz w:val="22"/>
        </w:rPr>
        <w:t>n</w:t>
      </w:r>
      <w:r>
        <w:rPr>
          <w:rFonts w:hint="eastAsia"/>
          <w:sz w:val="22"/>
        </w:rPr>
        <w:t>－π</w:t>
      </w:r>
      <w:r>
        <w:rPr>
          <w:rFonts w:hint="eastAsia"/>
          <w:sz w:val="22"/>
        </w:rPr>
        <w:t>*</w:t>
      </w:r>
      <w:r>
        <w:rPr>
          <w:rFonts w:hint="eastAsia"/>
          <w:sz w:val="22"/>
        </w:rPr>
        <w:t>状態であると結論できる．また，π－π</w:t>
      </w:r>
      <w:r>
        <w:rPr>
          <w:rFonts w:hint="eastAsia"/>
          <w:sz w:val="22"/>
        </w:rPr>
        <w:t>*</w:t>
      </w:r>
      <w:r>
        <w:rPr>
          <w:rFonts w:hint="eastAsia"/>
          <w:sz w:val="22"/>
        </w:rPr>
        <w:t>から</w:t>
      </w:r>
      <w:r>
        <w:rPr>
          <w:rFonts w:hint="eastAsia"/>
          <w:sz w:val="22"/>
        </w:rPr>
        <w:t>n</w:t>
      </w:r>
      <w:r>
        <w:rPr>
          <w:rFonts w:hint="eastAsia"/>
          <w:sz w:val="22"/>
        </w:rPr>
        <w:t>－π</w:t>
      </w:r>
      <w:r>
        <w:rPr>
          <w:rFonts w:hint="eastAsia"/>
          <w:sz w:val="22"/>
        </w:rPr>
        <w:t>*</w:t>
      </w:r>
      <w:r>
        <w:rPr>
          <w:rFonts w:hint="eastAsia"/>
          <w:sz w:val="22"/>
        </w:rPr>
        <w:t>への遷移は許容遷移であるため（</w:t>
      </w:r>
      <w:r>
        <w:rPr>
          <w:rFonts w:hint="eastAsia"/>
          <w:sz w:val="22"/>
        </w:rPr>
        <w:t>El-Sayed</w:t>
      </w:r>
      <w:r>
        <w:rPr>
          <w:rFonts w:hint="eastAsia"/>
          <w:sz w:val="22"/>
        </w:rPr>
        <w:t>則），</w:t>
      </w:r>
      <w:r>
        <w:rPr>
          <w:rFonts w:hint="eastAsia"/>
          <w:sz w:val="22"/>
        </w:rPr>
        <w:t>DBCH-5-one</w:t>
      </w:r>
      <w:r>
        <w:rPr>
          <w:rFonts w:hint="eastAsia"/>
          <w:sz w:val="22"/>
        </w:rPr>
        <w:t>では</w:t>
      </w:r>
      <w:r>
        <w:rPr>
          <w:rFonts w:hint="eastAsia"/>
          <w:sz w:val="22"/>
        </w:rPr>
        <w:t>S</w:t>
      </w:r>
      <w:r>
        <w:rPr>
          <w:rFonts w:hint="eastAsia"/>
          <w:sz w:val="22"/>
          <w:vertAlign w:val="subscript"/>
        </w:rPr>
        <w:t>1</w:t>
      </w:r>
      <w:r>
        <w:rPr>
          <w:rFonts w:ascii="ＭＳ 明朝" w:hint="eastAsia"/>
          <w:sz w:val="22"/>
        </w:rPr>
        <w:t>→</w:t>
      </w:r>
      <w:r>
        <w:rPr>
          <w:rFonts w:hint="eastAsia"/>
          <w:sz w:val="22"/>
        </w:rPr>
        <w:t>T</w:t>
      </w:r>
      <w:r>
        <w:rPr>
          <w:rFonts w:hint="eastAsia"/>
          <w:sz w:val="22"/>
          <w:vertAlign w:val="subscript"/>
        </w:rPr>
        <w:t>1</w:t>
      </w:r>
      <w:r>
        <w:rPr>
          <w:rFonts w:hint="eastAsia"/>
          <w:sz w:val="22"/>
        </w:rPr>
        <w:t>の系間交差は極めて速く起こり，</w:t>
      </w:r>
      <w:r>
        <w:rPr>
          <w:rFonts w:hint="eastAsia"/>
          <w:sz w:val="22"/>
        </w:rPr>
        <w:t>S</w:t>
      </w:r>
      <w:r>
        <w:rPr>
          <w:rFonts w:hint="eastAsia"/>
          <w:sz w:val="22"/>
          <w:vertAlign w:val="subscript"/>
        </w:rPr>
        <w:t>1</w:t>
      </w:r>
      <w:r>
        <w:rPr>
          <w:rFonts w:hint="eastAsia"/>
          <w:sz w:val="22"/>
        </w:rPr>
        <w:t>がピコ秒の時間領域で観測できなかったものと説明される．なお、</w:t>
      </w:r>
      <w:r>
        <w:rPr>
          <w:rFonts w:hint="eastAsia"/>
          <w:sz w:val="22"/>
        </w:rPr>
        <w:t>DBCH-5-one</w:t>
      </w:r>
      <w:r>
        <w:rPr>
          <w:rFonts w:hint="eastAsia"/>
          <w:sz w:val="22"/>
        </w:rPr>
        <w:t>のフェムト秒時間分解紫外可視吸収スペクトルを測定したところ、</w:t>
      </w:r>
      <w:r>
        <w:rPr>
          <w:rFonts w:hint="eastAsia"/>
          <w:sz w:val="22"/>
        </w:rPr>
        <w:t>400-750 nm</w:t>
      </w:r>
      <w:r>
        <w:rPr>
          <w:rFonts w:hint="eastAsia"/>
          <w:sz w:val="22"/>
        </w:rPr>
        <w:t>にブロードなバンドが重なり合い，その時間変化は極めて複雑であることが分った。</w:t>
      </w:r>
    </w:p>
    <w:p w:rsidR="00762C9D" w:rsidRDefault="0094034A">
      <w:pPr>
        <w:rPr>
          <w:sz w:val="18"/>
        </w:rPr>
      </w:pPr>
      <w:r>
        <w:rPr>
          <w:noProof/>
          <w:sz w:val="18"/>
        </w:rPr>
        <w:drawing>
          <wp:anchor distT="0" distB="0" distL="114300" distR="114300" simplePos="0" relativeHeight="251657728" behindDoc="0" locked="0" layoutInCell="1" allowOverlap="1">
            <wp:simplePos x="0" y="0"/>
            <wp:positionH relativeFrom="column">
              <wp:posOffset>1170940</wp:posOffset>
            </wp:positionH>
            <wp:positionV relativeFrom="paragraph">
              <wp:posOffset>59055</wp:posOffset>
            </wp:positionV>
            <wp:extent cx="3647440" cy="228219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7440" cy="228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762C9D" w:rsidRDefault="00762C9D">
      <w:pPr>
        <w:rPr>
          <w:sz w:val="18"/>
        </w:rPr>
      </w:pPr>
    </w:p>
    <w:p w:rsidR="00931A0D" w:rsidRDefault="00931A0D">
      <w:pPr>
        <w:rPr>
          <w:sz w:val="18"/>
        </w:rPr>
      </w:pPr>
    </w:p>
    <w:p w:rsidR="00AD0251" w:rsidRDefault="00AD0251">
      <w:pPr>
        <w:rPr>
          <w:sz w:val="18"/>
        </w:rPr>
      </w:pPr>
    </w:p>
    <w:p w:rsidR="00762C9D" w:rsidRDefault="00931A0D" w:rsidP="00762C9D">
      <w:pPr>
        <w:jc w:val="center"/>
      </w:pPr>
      <w:r>
        <w:rPr>
          <w:rFonts w:hint="eastAsia"/>
          <w:sz w:val="16"/>
        </w:rPr>
        <w:t xml:space="preserve">Fig. 1 </w:t>
      </w:r>
      <w:r>
        <w:rPr>
          <w:rFonts w:hint="eastAsia"/>
          <w:sz w:val="16"/>
        </w:rPr>
        <w:t xml:space="preserve">フェムト秒時間分解紫外可視吸収スペクトル　　　　</w:t>
      </w:r>
      <w:r>
        <w:rPr>
          <w:rFonts w:hint="eastAsia"/>
          <w:sz w:val="16"/>
        </w:rPr>
        <w:t xml:space="preserve">Fig.2  </w:t>
      </w:r>
      <w:r>
        <w:rPr>
          <w:rFonts w:hint="eastAsia"/>
          <w:sz w:val="16"/>
        </w:rPr>
        <w:t>ピコ秒時間分解ラマンスペクトル</w:t>
      </w:r>
    </w:p>
    <w:p w:rsidR="00AD0251" w:rsidRDefault="00AD0251">
      <w:pPr>
        <w:rPr>
          <w:sz w:val="22"/>
        </w:rPr>
      </w:pPr>
    </w:p>
    <w:p w:rsidR="00931A0D" w:rsidRDefault="00931A0D">
      <w:pPr>
        <w:rPr>
          <w:sz w:val="22"/>
        </w:rPr>
      </w:pPr>
      <w:r>
        <w:rPr>
          <w:rFonts w:hint="eastAsia"/>
          <w:sz w:val="22"/>
        </w:rPr>
        <w:lastRenderedPageBreak/>
        <w:t xml:space="preserve">　特異値解析法（</w:t>
      </w:r>
      <w:r>
        <w:rPr>
          <w:rFonts w:hint="eastAsia"/>
          <w:sz w:val="22"/>
        </w:rPr>
        <w:t>SVD</w:t>
      </w:r>
      <w:r>
        <w:rPr>
          <w:rFonts w:hint="eastAsia"/>
          <w:sz w:val="22"/>
        </w:rPr>
        <w:t>解析）を適用して解析した結果，</w:t>
      </w:r>
      <w:r>
        <w:rPr>
          <w:rFonts w:hint="eastAsia"/>
          <w:sz w:val="22"/>
        </w:rPr>
        <w:t>S</w:t>
      </w:r>
      <w:r>
        <w:rPr>
          <w:rFonts w:hint="eastAsia"/>
          <w:sz w:val="22"/>
          <w:vertAlign w:val="subscript"/>
        </w:rPr>
        <w:t>1</w:t>
      </w:r>
      <w:r>
        <w:rPr>
          <w:rFonts w:hint="eastAsia"/>
          <w:sz w:val="22"/>
        </w:rPr>
        <w:t>は</w:t>
      </w:r>
      <w:r>
        <w:rPr>
          <w:rFonts w:hint="eastAsia"/>
          <w:sz w:val="22"/>
        </w:rPr>
        <w:t>450 nm</w:t>
      </w:r>
      <w:r>
        <w:rPr>
          <w:rFonts w:hint="eastAsia"/>
          <w:sz w:val="22"/>
        </w:rPr>
        <w:t>付近と</w:t>
      </w:r>
      <w:r>
        <w:rPr>
          <w:rFonts w:hint="eastAsia"/>
          <w:sz w:val="22"/>
        </w:rPr>
        <w:t>550 nm</w:t>
      </w:r>
      <w:r>
        <w:rPr>
          <w:rFonts w:hint="eastAsia"/>
          <w:sz w:val="22"/>
        </w:rPr>
        <w:t>付近に吸収極大を示し，寿命は約</w:t>
      </w:r>
      <w:r>
        <w:rPr>
          <w:rFonts w:hint="eastAsia"/>
          <w:sz w:val="22"/>
        </w:rPr>
        <w:t xml:space="preserve">2 </w:t>
      </w:r>
      <w:proofErr w:type="spellStart"/>
      <w:r>
        <w:rPr>
          <w:rFonts w:hint="eastAsia"/>
          <w:sz w:val="22"/>
        </w:rPr>
        <w:t>ps</w:t>
      </w:r>
      <w:proofErr w:type="spellEnd"/>
      <w:r>
        <w:rPr>
          <w:rFonts w:hint="eastAsia"/>
          <w:sz w:val="22"/>
        </w:rPr>
        <w:t>であった。</w:t>
      </w:r>
    </w:p>
    <w:p w:rsidR="00931A0D" w:rsidRDefault="00931A0D">
      <w:pPr>
        <w:rPr>
          <w:sz w:val="22"/>
        </w:rPr>
      </w:pPr>
      <w:r>
        <w:rPr>
          <w:rFonts w:hint="eastAsia"/>
          <w:sz w:val="22"/>
        </w:rPr>
        <w:t xml:space="preserve">　ピコ秒時間分解ラマンスペクトルを測定したところ，オレフィンの</w:t>
      </w:r>
      <w:r>
        <w:rPr>
          <w:rFonts w:hint="eastAsia"/>
          <w:sz w:val="22"/>
        </w:rPr>
        <w:t>C=C</w:t>
      </w:r>
      <w:r>
        <w:rPr>
          <w:rFonts w:hint="eastAsia"/>
          <w:sz w:val="22"/>
        </w:rPr>
        <w:t>伸縮振動に帰属される</w:t>
      </w:r>
      <w:r>
        <w:rPr>
          <w:rFonts w:hint="eastAsia"/>
          <w:sz w:val="22"/>
        </w:rPr>
        <w:t>1520 cm</w:t>
      </w:r>
      <w:r>
        <w:rPr>
          <w:rFonts w:hint="eastAsia"/>
          <w:sz w:val="22"/>
          <w:vertAlign w:val="superscript"/>
        </w:rPr>
        <w:t>-1</w:t>
      </w:r>
      <w:r>
        <w:rPr>
          <w:rFonts w:hint="eastAsia"/>
          <w:sz w:val="22"/>
        </w:rPr>
        <w:t>のバンドが時間とともに高波数にシフトすることを見つけた．これは</w:t>
      </w:r>
      <w:r>
        <w:rPr>
          <w:rFonts w:hint="eastAsia"/>
          <w:sz w:val="22"/>
        </w:rPr>
        <w:t>T</w:t>
      </w:r>
      <w:r>
        <w:rPr>
          <w:rFonts w:hint="eastAsia"/>
          <w:sz w:val="22"/>
          <w:vertAlign w:val="subscript"/>
        </w:rPr>
        <w:t>1</w:t>
      </w:r>
      <w:r>
        <w:rPr>
          <w:rFonts w:hint="eastAsia"/>
          <w:sz w:val="22"/>
        </w:rPr>
        <w:t>状態における振動エネルギーの緩和過程（振動冷却）によると解釈できる．</w:t>
      </w:r>
      <w:r>
        <w:rPr>
          <w:rFonts w:hint="eastAsia"/>
          <w:sz w:val="22"/>
        </w:rPr>
        <w:t>T</w:t>
      </w:r>
      <w:r>
        <w:rPr>
          <w:rFonts w:hint="eastAsia"/>
          <w:sz w:val="22"/>
          <w:vertAlign w:val="subscript"/>
        </w:rPr>
        <w:t>1</w:t>
      </w:r>
      <w:r>
        <w:rPr>
          <w:rFonts w:hint="eastAsia"/>
          <w:sz w:val="22"/>
        </w:rPr>
        <w:t>状態の振動冷却過程が観測された例はこれまで報告されていない。</w:t>
      </w:r>
      <w:r>
        <w:rPr>
          <w:rFonts w:hint="eastAsia"/>
          <w:sz w:val="22"/>
        </w:rPr>
        <w:t>DBCH-5-one</w:t>
      </w:r>
      <w:r>
        <w:rPr>
          <w:rFonts w:hint="eastAsia"/>
          <w:sz w:val="22"/>
        </w:rPr>
        <w:t>において</w:t>
      </w:r>
      <w:r>
        <w:rPr>
          <w:rFonts w:hint="eastAsia"/>
          <w:sz w:val="22"/>
        </w:rPr>
        <w:t>T</w:t>
      </w:r>
      <w:r>
        <w:rPr>
          <w:rFonts w:hint="eastAsia"/>
          <w:sz w:val="22"/>
          <w:vertAlign w:val="subscript"/>
        </w:rPr>
        <w:t>1</w:t>
      </w:r>
      <w:r>
        <w:rPr>
          <w:rFonts w:hint="eastAsia"/>
          <w:sz w:val="22"/>
        </w:rPr>
        <w:t>状態の振動冷却が観測されたのは，この分子では</w:t>
      </w:r>
      <w:r>
        <w:rPr>
          <w:rFonts w:hint="eastAsia"/>
          <w:sz w:val="22"/>
        </w:rPr>
        <w:t>S</w:t>
      </w:r>
      <w:r>
        <w:rPr>
          <w:rFonts w:hint="eastAsia"/>
          <w:sz w:val="22"/>
          <w:vertAlign w:val="subscript"/>
        </w:rPr>
        <w:t>１</w:t>
      </w:r>
      <w:r>
        <w:rPr>
          <w:rFonts w:hint="eastAsia"/>
          <w:sz w:val="22"/>
        </w:rPr>
        <w:t>から</w:t>
      </w:r>
      <w:r>
        <w:rPr>
          <w:rFonts w:hint="eastAsia"/>
          <w:sz w:val="22"/>
        </w:rPr>
        <w:t>T</w:t>
      </w:r>
      <w:r>
        <w:rPr>
          <w:rFonts w:hint="eastAsia"/>
          <w:sz w:val="22"/>
          <w:vertAlign w:val="subscript"/>
        </w:rPr>
        <w:t>1</w:t>
      </w:r>
      <w:r>
        <w:rPr>
          <w:rFonts w:hint="eastAsia"/>
          <w:sz w:val="22"/>
        </w:rPr>
        <w:t>への系間交差が許容であるため，系間交差が</w:t>
      </w:r>
      <w:r>
        <w:rPr>
          <w:rFonts w:hint="eastAsia"/>
          <w:sz w:val="22"/>
        </w:rPr>
        <w:t>T</w:t>
      </w:r>
      <w:r>
        <w:rPr>
          <w:rFonts w:hint="eastAsia"/>
          <w:sz w:val="22"/>
          <w:vertAlign w:val="subscript"/>
        </w:rPr>
        <w:t>1</w:t>
      </w:r>
      <w:r>
        <w:rPr>
          <w:rFonts w:hint="eastAsia"/>
          <w:sz w:val="22"/>
        </w:rPr>
        <w:t>での振動緩和時間よりも遥かに速く起こるためと考えれば説明がつく。</w:t>
      </w:r>
    </w:p>
    <w:p w:rsidR="00931A0D" w:rsidRDefault="00931A0D">
      <w:pPr>
        <w:rPr>
          <w:b/>
        </w:rPr>
      </w:pPr>
    </w:p>
    <w:p w:rsidR="00762C9D" w:rsidRDefault="00762C9D">
      <w:pPr>
        <w:rPr>
          <w:b/>
        </w:rPr>
      </w:pPr>
    </w:p>
    <w:p w:rsidR="00931A0D" w:rsidRDefault="00931A0D">
      <w:pPr>
        <w:rPr>
          <w:b/>
          <w:sz w:val="22"/>
        </w:rPr>
      </w:pPr>
      <w:r>
        <w:rPr>
          <w:rFonts w:hint="eastAsia"/>
          <w:b/>
          <w:sz w:val="22"/>
        </w:rPr>
        <w:t>2.2</w:t>
      </w:r>
      <w:r>
        <w:rPr>
          <w:rFonts w:hint="eastAsia"/>
          <w:b/>
          <w:sz w:val="22"/>
        </w:rPr>
        <w:t xml:space="preserve">　ベンジルの最低励起一重項状態</w:t>
      </w:r>
      <w:r>
        <w:rPr>
          <w:rFonts w:hint="eastAsia"/>
          <w:b/>
          <w:sz w:val="22"/>
        </w:rPr>
        <w:t>S</w:t>
      </w:r>
      <w:r>
        <w:rPr>
          <w:rFonts w:hint="eastAsia"/>
          <w:b/>
          <w:sz w:val="22"/>
          <w:vertAlign w:val="subscript"/>
        </w:rPr>
        <w:t>1</w:t>
      </w:r>
      <w:r>
        <w:rPr>
          <w:rFonts w:hint="eastAsia"/>
          <w:b/>
          <w:sz w:val="22"/>
        </w:rPr>
        <w:t>の分子構造</w:t>
      </w:r>
    </w:p>
    <w:p w:rsidR="00931A0D" w:rsidRDefault="00931A0D">
      <w:pPr>
        <w:ind w:firstLineChars="100" w:firstLine="220"/>
        <w:rPr>
          <w:sz w:val="22"/>
        </w:rPr>
      </w:pPr>
      <w:r>
        <w:rPr>
          <w:rFonts w:hint="eastAsia"/>
          <w:sz w:val="22"/>
        </w:rPr>
        <w:t>ベンジルは基底状態において，真中の</w:t>
      </w:r>
      <w:r>
        <w:rPr>
          <w:rFonts w:hint="eastAsia"/>
          <w:sz w:val="22"/>
        </w:rPr>
        <w:t>C</w:t>
      </w:r>
      <w:r>
        <w:rPr>
          <w:rFonts w:hint="eastAsia"/>
          <w:sz w:val="22"/>
        </w:rPr>
        <w:t>－</w:t>
      </w:r>
      <w:r>
        <w:rPr>
          <w:rFonts w:hint="eastAsia"/>
          <w:sz w:val="22"/>
        </w:rPr>
        <w:t>C</w:t>
      </w:r>
      <w:r>
        <w:rPr>
          <w:rFonts w:hint="eastAsia"/>
          <w:sz w:val="22"/>
        </w:rPr>
        <w:t>結合回りで二つのベンゾイル基の面が互いに</w:t>
      </w:r>
      <w:r>
        <w:rPr>
          <w:rFonts w:hint="eastAsia"/>
          <w:sz w:val="22"/>
        </w:rPr>
        <w:t>108</w:t>
      </w:r>
      <w:r>
        <w:rPr>
          <w:rFonts w:hint="eastAsia"/>
          <w:sz w:val="22"/>
        </w:rPr>
        <w:sym w:font="Symbol" w:char="F0B0"/>
      </w:r>
      <w:r>
        <w:rPr>
          <w:rFonts w:hint="eastAsia"/>
          <w:sz w:val="22"/>
        </w:rPr>
        <w:t>ねじれた構造をとっていることが，</w:t>
      </w:r>
      <w:r>
        <w:rPr>
          <w:rFonts w:hint="eastAsia"/>
          <w:sz w:val="22"/>
        </w:rPr>
        <w:t>X</w:t>
      </w:r>
      <w:r>
        <w:rPr>
          <w:rFonts w:hint="eastAsia"/>
          <w:sz w:val="22"/>
        </w:rPr>
        <w:t>－線解析の結果分っている．しかし最低励起一重項状態</w:t>
      </w:r>
      <w:r>
        <w:rPr>
          <w:rFonts w:hint="eastAsia"/>
          <w:sz w:val="22"/>
        </w:rPr>
        <w:t>S</w:t>
      </w:r>
      <w:r>
        <w:rPr>
          <w:rFonts w:hint="eastAsia"/>
          <w:sz w:val="22"/>
          <w:vertAlign w:val="subscript"/>
        </w:rPr>
        <w:t>1</w:t>
      </w:r>
      <w:r>
        <w:rPr>
          <w:rFonts w:hint="eastAsia"/>
          <w:sz w:val="22"/>
        </w:rPr>
        <w:t>および最低励起三重項状態</w:t>
      </w:r>
      <w:r>
        <w:rPr>
          <w:rFonts w:hint="eastAsia"/>
          <w:sz w:val="22"/>
        </w:rPr>
        <w:t>T</w:t>
      </w:r>
      <w:r>
        <w:rPr>
          <w:rFonts w:hint="eastAsia"/>
          <w:sz w:val="22"/>
          <w:vertAlign w:val="subscript"/>
        </w:rPr>
        <w:t>1</w:t>
      </w:r>
      <w:r>
        <w:rPr>
          <w:rFonts w:hint="eastAsia"/>
          <w:sz w:val="22"/>
        </w:rPr>
        <w:t>の構造については，蛍光スペクトルの研究からねじれ形と平面形の</w:t>
      </w:r>
      <w:r>
        <w:rPr>
          <w:rFonts w:hint="eastAsia"/>
          <w:sz w:val="22"/>
        </w:rPr>
        <w:t>2</w:t>
      </w:r>
      <w:r>
        <w:rPr>
          <w:rFonts w:hint="eastAsia"/>
          <w:sz w:val="22"/>
        </w:rPr>
        <w:t>形が存在すると報告されているが，未だ十分な確証が得られていない。</w:t>
      </w:r>
    </w:p>
    <w:p w:rsidR="00931A0D" w:rsidRDefault="00931A0D">
      <w:pPr>
        <w:ind w:firstLine="210"/>
        <w:rPr>
          <w:sz w:val="22"/>
        </w:rPr>
      </w:pPr>
      <w:r>
        <w:rPr>
          <w:rFonts w:hint="eastAsia"/>
          <w:sz w:val="22"/>
        </w:rPr>
        <w:t>この問題を明らかにするために本研究では，ピコ秒・ナノ秒時間分解ラマン，ピコ秒時間分解紫外可視吸収およびナノ秒時間分解赤外吸収の測定をおこなった．ナノ秒の時間分解で</w:t>
      </w:r>
      <w:r>
        <w:rPr>
          <w:rFonts w:hint="eastAsia"/>
          <w:sz w:val="22"/>
        </w:rPr>
        <w:t>T</w:t>
      </w:r>
      <w:r>
        <w:rPr>
          <w:rFonts w:hint="eastAsia"/>
          <w:sz w:val="22"/>
          <w:vertAlign w:val="subscript"/>
        </w:rPr>
        <w:t>1</w:t>
      </w:r>
      <w:r>
        <w:rPr>
          <w:rFonts w:hint="eastAsia"/>
          <w:sz w:val="22"/>
        </w:rPr>
        <w:t>状態のラマン及び赤外スペクトルを測定した結果，両者の間に交互禁制が成立していることが分かった．このことから，</w:t>
      </w:r>
      <w:r>
        <w:rPr>
          <w:rFonts w:hint="eastAsia"/>
          <w:sz w:val="22"/>
        </w:rPr>
        <w:t>T</w:t>
      </w:r>
      <w:r>
        <w:rPr>
          <w:rFonts w:hint="eastAsia"/>
          <w:sz w:val="22"/>
          <w:vertAlign w:val="subscript"/>
        </w:rPr>
        <w:t>1</w:t>
      </w:r>
      <w:r>
        <w:rPr>
          <w:rFonts w:hint="eastAsia"/>
          <w:sz w:val="22"/>
        </w:rPr>
        <w:t>状態の構造は対称心を持つ平面トランス形が安定構造であることが分った．ピコ秒時間分解紫外可視吸収スペクトルの測定から，</w:t>
      </w:r>
      <w:r>
        <w:rPr>
          <w:rFonts w:hint="eastAsia"/>
          <w:sz w:val="22"/>
        </w:rPr>
        <w:t>S</w:t>
      </w:r>
      <w:r>
        <w:rPr>
          <w:rFonts w:hint="eastAsia"/>
          <w:sz w:val="22"/>
          <w:vertAlign w:val="subscript"/>
        </w:rPr>
        <w:t>1</w:t>
      </w:r>
      <w:r>
        <w:rPr>
          <w:rFonts w:hint="eastAsia"/>
          <w:sz w:val="22"/>
        </w:rPr>
        <w:t>状態は励起直後のねじれた</w:t>
      </w:r>
      <w:r>
        <w:rPr>
          <w:rFonts w:hint="eastAsia"/>
          <w:sz w:val="22"/>
        </w:rPr>
        <w:t>Franck-Condon</w:t>
      </w:r>
      <w:r>
        <w:rPr>
          <w:rFonts w:hint="eastAsia"/>
          <w:sz w:val="22"/>
        </w:rPr>
        <w:t>構造から，</w:t>
      </w:r>
      <w:r>
        <w:rPr>
          <w:rFonts w:hint="eastAsia"/>
          <w:sz w:val="22"/>
        </w:rPr>
        <w:t>50ps</w:t>
      </w:r>
      <w:r>
        <w:rPr>
          <w:rFonts w:hint="eastAsia"/>
          <w:sz w:val="22"/>
        </w:rPr>
        <w:t>程度の時定数で別の安定構造へと変化することが分った．ピコ秒時間分解ラマンの測定では，</w:t>
      </w:r>
      <w:r>
        <w:rPr>
          <w:rFonts w:hint="eastAsia"/>
          <w:sz w:val="22"/>
        </w:rPr>
        <w:t>S</w:t>
      </w:r>
      <w:r>
        <w:rPr>
          <w:rFonts w:hint="eastAsia"/>
          <w:sz w:val="22"/>
          <w:vertAlign w:val="subscript"/>
        </w:rPr>
        <w:t>1</w:t>
      </w:r>
      <w:r>
        <w:rPr>
          <w:rFonts w:hint="eastAsia"/>
          <w:sz w:val="22"/>
        </w:rPr>
        <w:t>状態の</w:t>
      </w:r>
      <w:r>
        <w:rPr>
          <w:rFonts w:hint="eastAsia"/>
          <w:sz w:val="22"/>
        </w:rPr>
        <w:t>Franck-Condon</w:t>
      </w:r>
      <w:r>
        <w:rPr>
          <w:rFonts w:hint="eastAsia"/>
          <w:sz w:val="22"/>
        </w:rPr>
        <w:t>構造に対応するスペクトルは測定できなかったか，緩和した安定状態の</w:t>
      </w:r>
      <w:r>
        <w:rPr>
          <w:rFonts w:hint="eastAsia"/>
          <w:sz w:val="22"/>
        </w:rPr>
        <w:t>S</w:t>
      </w:r>
      <w:r>
        <w:rPr>
          <w:rFonts w:hint="eastAsia"/>
          <w:sz w:val="22"/>
          <w:vertAlign w:val="subscript"/>
        </w:rPr>
        <w:t>1</w:t>
      </w:r>
      <w:r>
        <w:rPr>
          <w:rFonts w:hint="eastAsia"/>
          <w:sz w:val="22"/>
        </w:rPr>
        <w:t>のラマンスペクトルは，</w:t>
      </w:r>
      <w:r>
        <w:rPr>
          <w:rFonts w:hint="eastAsia"/>
          <w:sz w:val="22"/>
        </w:rPr>
        <w:t>T</w:t>
      </w:r>
      <w:r>
        <w:rPr>
          <w:rFonts w:hint="eastAsia"/>
          <w:sz w:val="22"/>
          <w:vertAlign w:val="subscript"/>
        </w:rPr>
        <w:t>1</w:t>
      </w:r>
      <w:r>
        <w:rPr>
          <w:rFonts w:hint="eastAsia"/>
          <w:sz w:val="22"/>
        </w:rPr>
        <w:t>状態のラマンスペクトルと極めてよく似ていることが分った．このことから，</w:t>
      </w:r>
      <w:r>
        <w:rPr>
          <w:rFonts w:hint="eastAsia"/>
          <w:sz w:val="22"/>
        </w:rPr>
        <w:t>S</w:t>
      </w:r>
      <w:r>
        <w:rPr>
          <w:rFonts w:hint="eastAsia"/>
          <w:sz w:val="22"/>
          <w:vertAlign w:val="subscript"/>
        </w:rPr>
        <w:t>1</w:t>
      </w:r>
      <w:r>
        <w:rPr>
          <w:rFonts w:hint="eastAsia"/>
          <w:sz w:val="22"/>
        </w:rPr>
        <w:t>状態の安定構造は平面トランス形であると結論した．</w:t>
      </w:r>
    </w:p>
    <w:p w:rsidR="00931A0D" w:rsidRDefault="00043BAA">
      <w:pPr>
        <w:ind w:firstLine="21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38.05pt;height:221.5pt;z-index:251656704" o:allowincell="f">
            <v:imagedata r:id="rId11" o:title=""/>
            <w10:wrap type="topAndBottom"/>
          </v:shape>
          <o:OLEObject Type="Embed" ProgID="Canvas.Drawing.6" ShapeID="_x0000_s1028" DrawAspect="Content" ObjectID="_1565098380" r:id="rId12"/>
        </w:pict>
      </w:r>
    </w:p>
    <w:p w:rsidR="00931A0D" w:rsidRPr="00AD2282" w:rsidRDefault="00931A0D">
      <w:pPr>
        <w:rPr>
          <w:sz w:val="18"/>
        </w:rPr>
      </w:pPr>
      <w:r>
        <w:rPr>
          <w:rFonts w:hint="eastAsia"/>
          <w:sz w:val="18"/>
        </w:rPr>
        <w:t xml:space="preserve">　　　　　　　　　　　　　　　　　　　　　　　　　　　　</w:t>
      </w:r>
      <w:r>
        <w:rPr>
          <w:rFonts w:hint="eastAsia"/>
          <w:sz w:val="18"/>
        </w:rPr>
        <w:t>Fig.3</w:t>
      </w:r>
      <w:r>
        <w:rPr>
          <w:rFonts w:hint="eastAsia"/>
          <w:sz w:val="18"/>
        </w:rPr>
        <w:t xml:space="preserve">　ピコ秒時間分解紫外可視吸収スペクトル</w:t>
      </w:r>
    </w:p>
    <w:p w:rsidR="00762C9D" w:rsidRDefault="00762C9D">
      <w:pPr>
        <w:rPr>
          <w:rFonts w:eastAsia="ＭＳ ゴシック"/>
          <w:b/>
          <w:sz w:val="22"/>
        </w:rPr>
      </w:pPr>
    </w:p>
    <w:p w:rsidR="00931A0D" w:rsidRPr="00392E6C" w:rsidRDefault="00931A0D" w:rsidP="00392E6C">
      <w:pPr>
        <w:pStyle w:val="a9"/>
        <w:numPr>
          <w:ilvl w:val="0"/>
          <w:numId w:val="18"/>
        </w:numPr>
        <w:ind w:leftChars="0"/>
        <w:rPr>
          <w:rFonts w:eastAsia="ＭＳ ゴシック"/>
          <w:b/>
          <w:sz w:val="22"/>
        </w:rPr>
      </w:pPr>
      <w:r w:rsidRPr="00392E6C">
        <w:rPr>
          <w:rFonts w:eastAsia="ＭＳ ゴシック" w:hint="eastAsia"/>
          <w:b/>
          <w:sz w:val="22"/>
        </w:rPr>
        <w:lastRenderedPageBreak/>
        <w:t>共同研究者</w:t>
      </w:r>
    </w:p>
    <w:p w:rsidR="00931A0D" w:rsidRDefault="00931A0D">
      <w:pPr>
        <w:rPr>
          <w:sz w:val="22"/>
        </w:rPr>
      </w:pPr>
      <w:r>
        <w:rPr>
          <w:rFonts w:hint="eastAsia"/>
          <w:sz w:val="22"/>
        </w:rPr>
        <w:t>伊藤　紘一（理工学部・化学科・教授）　　　　石原　浩二（理工学部・化学科・教授</w:t>
      </w:r>
      <w:r>
        <w:rPr>
          <w:rFonts w:hint="eastAsia"/>
          <w:sz w:val="22"/>
        </w:rPr>
        <w:t>)</w:t>
      </w:r>
    </w:p>
    <w:p w:rsidR="00931A0D" w:rsidRDefault="00931A0D">
      <w:pPr>
        <w:rPr>
          <w:sz w:val="22"/>
        </w:rPr>
      </w:pPr>
      <w:r>
        <w:rPr>
          <w:rFonts w:hint="eastAsia"/>
          <w:sz w:val="22"/>
        </w:rPr>
        <w:t>藤井　正明（分子科学研究所・教授）　　　　　酒井　　誠（理工学部・化学科・助手）</w:t>
      </w:r>
    </w:p>
    <w:p w:rsidR="00931A0D" w:rsidRDefault="00931A0D">
      <w:pPr>
        <w:jc w:val="center"/>
        <w:rPr>
          <w:sz w:val="22"/>
        </w:rPr>
      </w:pPr>
    </w:p>
    <w:p w:rsidR="00931A0D" w:rsidRPr="00392E6C" w:rsidRDefault="00931A0D" w:rsidP="00392E6C">
      <w:pPr>
        <w:pStyle w:val="a9"/>
        <w:numPr>
          <w:ilvl w:val="0"/>
          <w:numId w:val="18"/>
        </w:numPr>
        <w:ind w:leftChars="0"/>
        <w:rPr>
          <w:rFonts w:eastAsia="ＭＳ ゴシック"/>
          <w:b/>
          <w:sz w:val="22"/>
        </w:rPr>
      </w:pPr>
      <w:r w:rsidRPr="00392E6C">
        <w:rPr>
          <w:rFonts w:eastAsia="ＭＳ ゴシック" w:hint="eastAsia"/>
          <w:b/>
          <w:sz w:val="22"/>
        </w:rPr>
        <w:t>研究業績</w:t>
      </w:r>
    </w:p>
    <w:p w:rsidR="00931A0D" w:rsidRDefault="00931A0D">
      <w:pPr>
        <w:rPr>
          <w:sz w:val="22"/>
        </w:rPr>
      </w:pPr>
      <w:r>
        <w:rPr>
          <w:rFonts w:hint="eastAsia"/>
          <w:sz w:val="22"/>
        </w:rPr>
        <w:t>4.1</w:t>
      </w:r>
      <w:r>
        <w:rPr>
          <w:rFonts w:hint="eastAsia"/>
          <w:sz w:val="22"/>
        </w:rPr>
        <w:t xml:space="preserve">　学術論文</w:t>
      </w:r>
    </w:p>
    <w:p w:rsidR="00931A0D" w:rsidRDefault="00931A0D">
      <w:pPr>
        <w:rPr>
          <w:sz w:val="22"/>
        </w:rPr>
      </w:pPr>
      <w:proofErr w:type="spellStart"/>
      <w:r>
        <w:rPr>
          <w:rFonts w:hint="eastAsia"/>
          <w:sz w:val="22"/>
        </w:rPr>
        <w:t>E.Yu</w:t>
      </w:r>
      <w:proofErr w:type="spellEnd"/>
      <w:r>
        <w:rPr>
          <w:rFonts w:hint="eastAsia"/>
          <w:sz w:val="22"/>
        </w:rPr>
        <w:t xml:space="preserve">. </w:t>
      </w:r>
      <w:proofErr w:type="spellStart"/>
      <w:r>
        <w:rPr>
          <w:rFonts w:hint="eastAsia"/>
          <w:sz w:val="22"/>
        </w:rPr>
        <w:t>Cherednikova</w:t>
      </w:r>
      <w:proofErr w:type="spellEnd"/>
      <w:r>
        <w:rPr>
          <w:rFonts w:hint="eastAsia"/>
          <w:sz w:val="22"/>
        </w:rPr>
        <w:t xml:space="preserve">, </w:t>
      </w:r>
      <w:proofErr w:type="spellStart"/>
      <w:r>
        <w:rPr>
          <w:rFonts w:hint="eastAsia"/>
          <w:sz w:val="22"/>
        </w:rPr>
        <w:t>A.Yu</w:t>
      </w:r>
      <w:proofErr w:type="spellEnd"/>
      <w:r>
        <w:rPr>
          <w:rFonts w:hint="eastAsia"/>
          <w:sz w:val="22"/>
        </w:rPr>
        <w:t xml:space="preserve">. </w:t>
      </w:r>
      <w:proofErr w:type="spellStart"/>
      <w:r>
        <w:rPr>
          <w:rFonts w:hint="eastAsia"/>
          <w:sz w:val="22"/>
        </w:rPr>
        <w:t>Chikishev</w:t>
      </w:r>
      <w:proofErr w:type="spellEnd"/>
      <w:r>
        <w:rPr>
          <w:rFonts w:hint="eastAsia"/>
          <w:sz w:val="22"/>
        </w:rPr>
        <w:t xml:space="preserve">, O.V. </w:t>
      </w:r>
      <w:proofErr w:type="spellStart"/>
      <w:r>
        <w:rPr>
          <w:rFonts w:hint="eastAsia"/>
          <w:sz w:val="22"/>
        </w:rPr>
        <w:t>Kosobokova</w:t>
      </w:r>
      <w:proofErr w:type="spellEnd"/>
      <w:r>
        <w:rPr>
          <w:rFonts w:hint="eastAsia"/>
          <w:sz w:val="22"/>
        </w:rPr>
        <w:t xml:space="preserve">, M. Mizuno, M. Sakai, H. Takahashi, Picosecond Time-Resolved Absorption Spectroscopy of Luciferin, </w:t>
      </w:r>
      <w:r>
        <w:rPr>
          <w:rFonts w:hint="eastAsia"/>
          <w:i/>
          <w:sz w:val="22"/>
        </w:rPr>
        <w:t>Chem. Phys. Lett</w:t>
      </w:r>
      <w:r>
        <w:rPr>
          <w:rFonts w:hint="eastAsia"/>
          <w:sz w:val="22"/>
        </w:rPr>
        <w:t xml:space="preserve">., </w:t>
      </w:r>
      <w:r>
        <w:rPr>
          <w:rFonts w:hint="eastAsia"/>
          <w:b/>
          <w:sz w:val="22"/>
        </w:rPr>
        <w:t>308</w:t>
      </w:r>
      <w:r>
        <w:rPr>
          <w:rFonts w:hint="eastAsia"/>
          <w:sz w:val="22"/>
        </w:rPr>
        <w:t>, 369-372</w:t>
      </w:r>
      <w:r>
        <w:rPr>
          <w:rFonts w:hint="eastAsia"/>
          <w:sz w:val="22"/>
        </w:rPr>
        <w:t xml:space="preserve">　</w:t>
      </w:r>
      <w:r>
        <w:rPr>
          <w:rFonts w:hint="eastAsia"/>
          <w:sz w:val="22"/>
        </w:rPr>
        <w:t>(1999).</w:t>
      </w:r>
    </w:p>
    <w:p w:rsidR="00931A0D" w:rsidRDefault="00931A0D">
      <w:pPr>
        <w:rPr>
          <w:sz w:val="22"/>
        </w:rPr>
      </w:pPr>
      <w:r>
        <w:rPr>
          <w:rFonts w:hint="eastAsia"/>
          <w:sz w:val="22"/>
        </w:rPr>
        <w:t xml:space="preserve">H. Takahashi, Y. Watanabe, M. Sakai, M. </w:t>
      </w:r>
      <w:proofErr w:type="spellStart"/>
      <w:r>
        <w:rPr>
          <w:rFonts w:hint="eastAsia"/>
          <w:sz w:val="22"/>
        </w:rPr>
        <w:t>Tachikawa</w:t>
      </w:r>
      <w:proofErr w:type="spellEnd"/>
      <w:r>
        <w:rPr>
          <w:rFonts w:hint="eastAsia"/>
          <w:sz w:val="22"/>
        </w:rPr>
        <w:t xml:space="preserve">, </w:t>
      </w:r>
      <w:proofErr w:type="spellStart"/>
      <w:r>
        <w:rPr>
          <w:rFonts w:hint="eastAsia"/>
          <w:sz w:val="22"/>
        </w:rPr>
        <w:t>Photoinduced</w:t>
      </w:r>
      <w:proofErr w:type="spellEnd"/>
      <w:r>
        <w:rPr>
          <w:rFonts w:hint="eastAsia"/>
          <w:sz w:val="22"/>
        </w:rPr>
        <w:t xml:space="preserve"> </w:t>
      </w:r>
      <w:proofErr w:type="spellStart"/>
      <w:r>
        <w:rPr>
          <w:rFonts w:hint="eastAsia"/>
          <w:sz w:val="22"/>
        </w:rPr>
        <w:t>Intramolecular</w:t>
      </w:r>
      <w:proofErr w:type="spellEnd"/>
      <w:r>
        <w:rPr>
          <w:rFonts w:hint="eastAsia"/>
          <w:sz w:val="22"/>
        </w:rPr>
        <w:t xml:space="preserve"> Hydrogen Transfer Reaction of </w:t>
      </w:r>
      <w:proofErr w:type="spellStart"/>
      <w:r>
        <w:rPr>
          <w:rFonts w:hint="eastAsia"/>
          <w:sz w:val="22"/>
        </w:rPr>
        <w:t>ortho</w:t>
      </w:r>
      <w:proofErr w:type="spellEnd"/>
      <w:r>
        <w:rPr>
          <w:rFonts w:hint="eastAsia"/>
          <w:sz w:val="22"/>
        </w:rPr>
        <w:t xml:space="preserve"> </w:t>
      </w:r>
      <w:proofErr w:type="spellStart"/>
      <w:r>
        <w:rPr>
          <w:rFonts w:hint="eastAsia"/>
          <w:sz w:val="22"/>
        </w:rPr>
        <w:t>Nitrobenzyl</w:t>
      </w:r>
      <w:proofErr w:type="spellEnd"/>
      <w:r>
        <w:rPr>
          <w:rFonts w:hint="eastAsia"/>
          <w:sz w:val="22"/>
        </w:rPr>
        <w:t xml:space="preserve"> Compounds, </w:t>
      </w:r>
      <w:r>
        <w:rPr>
          <w:rFonts w:hint="eastAsia"/>
          <w:i/>
          <w:sz w:val="22"/>
        </w:rPr>
        <w:t>Laser Chem.</w:t>
      </w:r>
      <w:r>
        <w:rPr>
          <w:rFonts w:hint="eastAsia"/>
          <w:sz w:val="22"/>
        </w:rPr>
        <w:t xml:space="preserve">, </w:t>
      </w:r>
      <w:r>
        <w:rPr>
          <w:rFonts w:hint="eastAsia"/>
          <w:b/>
          <w:sz w:val="22"/>
        </w:rPr>
        <w:t>19</w:t>
      </w:r>
      <w:r>
        <w:rPr>
          <w:rFonts w:hint="eastAsia"/>
          <w:sz w:val="22"/>
        </w:rPr>
        <w:t xml:space="preserve">, 357-362 (1999). </w:t>
      </w:r>
    </w:p>
    <w:p w:rsidR="00931A0D" w:rsidRDefault="00931A0D">
      <w:pPr>
        <w:rPr>
          <w:sz w:val="22"/>
        </w:rPr>
      </w:pPr>
    </w:p>
    <w:p w:rsidR="00931A0D" w:rsidRDefault="00931A0D">
      <w:pPr>
        <w:rPr>
          <w:sz w:val="22"/>
        </w:rPr>
      </w:pPr>
      <w:r>
        <w:rPr>
          <w:rFonts w:hint="eastAsia"/>
          <w:sz w:val="22"/>
        </w:rPr>
        <w:t xml:space="preserve">4.2  </w:t>
      </w:r>
      <w:r>
        <w:rPr>
          <w:rFonts w:hint="eastAsia"/>
          <w:sz w:val="22"/>
        </w:rPr>
        <w:t>総説・著書</w:t>
      </w:r>
    </w:p>
    <w:p w:rsidR="00931A0D" w:rsidRDefault="00931A0D">
      <w:pPr>
        <w:rPr>
          <w:sz w:val="22"/>
        </w:rPr>
      </w:pPr>
      <w:r>
        <w:rPr>
          <w:rFonts w:hint="eastAsia"/>
          <w:sz w:val="22"/>
        </w:rPr>
        <w:t xml:space="preserve">J. </w:t>
      </w:r>
      <w:proofErr w:type="spellStart"/>
      <w:r>
        <w:rPr>
          <w:rFonts w:hint="eastAsia"/>
          <w:sz w:val="22"/>
        </w:rPr>
        <w:t>Laane</w:t>
      </w:r>
      <w:proofErr w:type="spellEnd"/>
      <w:r>
        <w:rPr>
          <w:rFonts w:hint="eastAsia"/>
          <w:sz w:val="22"/>
        </w:rPr>
        <w:t xml:space="preserve">, H. Takahashi and A. </w:t>
      </w:r>
      <w:proofErr w:type="spellStart"/>
      <w:r>
        <w:rPr>
          <w:rFonts w:hint="eastAsia"/>
          <w:sz w:val="22"/>
        </w:rPr>
        <w:t>Bandrauk</w:t>
      </w:r>
      <w:proofErr w:type="spellEnd"/>
      <w:r>
        <w:rPr>
          <w:rFonts w:hint="eastAsia"/>
          <w:sz w:val="22"/>
        </w:rPr>
        <w:t xml:space="preserve">, </w:t>
      </w:r>
      <w:r>
        <w:rPr>
          <w:sz w:val="22"/>
        </w:rPr>
        <w:t>“</w:t>
      </w:r>
      <w:r>
        <w:rPr>
          <w:rFonts w:hint="eastAsia"/>
          <w:sz w:val="22"/>
        </w:rPr>
        <w:t>Structure and Dynamics in Electronic Excited States</w:t>
      </w:r>
      <w:r>
        <w:rPr>
          <w:sz w:val="22"/>
        </w:rPr>
        <w:t>”</w:t>
      </w:r>
      <w:r>
        <w:rPr>
          <w:rFonts w:hint="eastAsia"/>
          <w:sz w:val="22"/>
        </w:rPr>
        <w:t xml:space="preserve">, Springer </w:t>
      </w:r>
      <w:proofErr w:type="spellStart"/>
      <w:r>
        <w:rPr>
          <w:rFonts w:hint="eastAsia"/>
          <w:sz w:val="22"/>
        </w:rPr>
        <w:t>Verlag</w:t>
      </w:r>
      <w:proofErr w:type="spellEnd"/>
      <w:r>
        <w:rPr>
          <w:rFonts w:hint="eastAsia"/>
          <w:sz w:val="22"/>
        </w:rPr>
        <w:t>, Berlin, 1999</w:t>
      </w:r>
    </w:p>
    <w:p w:rsidR="00931A0D" w:rsidRDefault="00931A0D">
      <w:pPr>
        <w:rPr>
          <w:sz w:val="22"/>
        </w:rPr>
      </w:pPr>
    </w:p>
    <w:p w:rsidR="00931A0D" w:rsidRDefault="00931A0D">
      <w:pPr>
        <w:numPr>
          <w:ilvl w:val="1"/>
          <w:numId w:val="9"/>
        </w:numPr>
        <w:rPr>
          <w:sz w:val="22"/>
        </w:rPr>
      </w:pPr>
      <w:r>
        <w:rPr>
          <w:rFonts w:hint="eastAsia"/>
          <w:sz w:val="22"/>
        </w:rPr>
        <w:t xml:space="preserve">　招待講演</w:t>
      </w:r>
    </w:p>
    <w:p w:rsidR="00931A0D" w:rsidRDefault="00931A0D">
      <w:pPr>
        <w:rPr>
          <w:sz w:val="22"/>
        </w:rPr>
      </w:pPr>
      <w:r>
        <w:rPr>
          <w:sz w:val="22"/>
        </w:rPr>
        <w:t>“</w:t>
      </w:r>
      <w:r>
        <w:rPr>
          <w:rFonts w:hint="eastAsia"/>
          <w:sz w:val="22"/>
        </w:rPr>
        <w:t>Conformational Changes in the S</w:t>
      </w:r>
      <w:r>
        <w:rPr>
          <w:rFonts w:hint="eastAsia"/>
          <w:sz w:val="22"/>
          <w:vertAlign w:val="subscript"/>
        </w:rPr>
        <w:t>1</w:t>
      </w:r>
      <w:r>
        <w:rPr>
          <w:rFonts w:hint="eastAsia"/>
          <w:sz w:val="22"/>
        </w:rPr>
        <w:t xml:space="preserve"> State: Picosecond Time-Resolved Raman and Absorption Spectra of </w:t>
      </w:r>
      <w:proofErr w:type="spellStart"/>
      <w:r>
        <w:rPr>
          <w:rFonts w:hint="eastAsia"/>
          <w:sz w:val="22"/>
        </w:rPr>
        <w:t>Dibenzo</w:t>
      </w:r>
      <w:proofErr w:type="spellEnd"/>
      <w:r>
        <w:rPr>
          <w:rFonts w:hint="eastAsia"/>
          <w:sz w:val="22"/>
        </w:rPr>
        <w:t xml:space="preserve"> Derivatives of Seven-Membered ring Systems</w:t>
      </w:r>
      <w:r>
        <w:rPr>
          <w:sz w:val="22"/>
        </w:rPr>
        <w:t>”</w:t>
      </w:r>
      <w:r>
        <w:rPr>
          <w:rFonts w:hint="eastAsia"/>
          <w:sz w:val="22"/>
        </w:rPr>
        <w:t>, 9</w:t>
      </w:r>
      <w:r>
        <w:rPr>
          <w:rFonts w:hint="eastAsia"/>
          <w:sz w:val="22"/>
          <w:vertAlign w:val="superscript"/>
        </w:rPr>
        <w:t>th</w:t>
      </w:r>
      <w:r>
        <w:rPr>
          <w:rFonts w:hint="eastAsia"/>
          <w:sz w:val="22"/>
        </w:rPr>
        <w:t xml:space="preserve"> International Conference on Time-Resolved Vibrational Spectroscopy</w:t>
      </w:r>
      <w:r>
        <w:rPr>
          <w:sz w:val="22"/>
        </w:rPr>
        <w:t>”</w:t>
      </w:r>
      <w:r>
        <w:rPr>
          <w:rFonts w:hint="eastAsia"/>
          <w:sz w:val="22"/>
        </w:rPr>
        <w:t>, Tucson, Arizona, May 1999.</w:t>
      </w:r>
    </w:p>
    <w:p w:rsidR="00931A0D" w:rsidRDefault="00931A0D">
      <w:pPr>
        <w:rPr>
          <w:sz w:val="22"/>
        </w:rPr>
      </w:pPr>
      <w:r>
        <w:rPr>
          <w:sz w:val="22"/>
        </w:rPr>
        <w:t>“</w:t>
      </w:r>
      <w:r>
        <w:rPr>
          <w:rFonts w:hint="eastAsia"/>
          <w:sz w:val="22"/>
        </w:rPr>
        <w:t>Structure and Dynamics of Excited Molecules: Time-Resolved Spectroscopies</w:t>
      </w:r>
      <w:r>
        <w:rPr>
          <w:sz w:val="22"/>
        </w:rPr>
        <w:t>”</w:t>
      </w:r>
      <w:r>
        <w:rPr>
          <w:rFonts w:hint="eastAsia"/>
          <w:sz w:val="22"/>
        </w:rPr>
        <w:t>, Texas A&amp;M University, College Station, Texas, June 1999.</w:t>
      </w:r>
    </w:p>
    <w:p w:rsidR="00931A0D" w:rsidRDefault="00931A0D">
      <w:pPr>
        <w:rPr>
          <w:sz w:val="22"/>
        </w:rPr>
      </w:pPr>
      <w:r>
        <w:rPr>
          <w:sz w:val="22"/>
        </w:rPr>
        <w:t>“</w:t>
      </w:r>
      <w:r>
        <w:rPr>
          <w:rFonts w:hint="eastAsia"/>
          <w:sz w:val="22"/>
        </w:rPr>
        <w:t>Excited State Structure and Dynamics from Time-Resolved Raman and Absorption Spectroscopies: Non-Rigid Molecules</w:t>
      </w:r>
      <w:r>
        <w:rPr>
          <w:sz w:val="22"/>
        </w:rPr>
        <w:t>”</w:t>
      </w:r>
      <w:r>
        <w:rPr>
          <w:rFonts w:hint="eastAsia"/>
          <w:sz w:val="22"/>
        </w:rPr>
        <w:t>, University of New York at Stony Brook, New York, July 1999.</w:t>
      </w:r>
    </w:p>
    <w:p w:rsidR="00931A0D" w:rsidRDefault="00931A0D">
      <w:pPr>
        <w:rPr>
          <w:sz w:val="22"/>
        </w:rPr>
      </w:pPr>
      <w:r>
        <w:rPr>
          <w:sz w:val="22"/>
        </w:rPr>
        <w:t>“</w:t>
      </w:r>
      <w:r>
        <w:rPr>
          <w:rFonts w:hint="eastAsia"/>
          <w:sz w:val="22"/>
        </w:rPr>
        <w:t>Structure and Dynamics of the S</w:t>
      </w:r>
      <w:r>
        <w:rPr>
          <w:rFonts w:hint="eastAsia"/>
          <w:sz w:val="22"/>
          <w:vertAlign w:val="subscript"/>
        </w:rPr>
        <w:t>1</w:t>
      </w:r>
      <w:r>
        <w:rPr>
          <w:rFonts w:hint="eastAsia"/>
          <w:sz w:val="22"/>
        </w:rPr>
        <w:t xml:space="preserve"> State of Non-Rigid Molecules from Picosecond Time-Resolved Spectroscopies</w:t>
      </w:r>
      <w:r>
        <w:rPr>
          <w:sz w:val="22"/>
        </w:rPr>
        <w:t>”</w:t>
      </w:r>
      <w:r>
        <w:rPr>
          <w:rFonts w:hint="eastAsia"/>
          <w:sz w:val="22"/>
        </w:rPr>
        <w:t>, University of Seattle, Seattle, August 1999.</w:t>
      </w:r>
    </w:p>
    <w:p w:rsidR="00931A0D" w:rsidRDefault="00931A0D">
      <w:pPr>
        <w:rPr>
          <w:sz w:val="22"/>
        </w:rPr>
      </w:pPr>
    </w:p>
    <w:p w:rsidR="00931A0D" w:rsidRDefault="00931A0D">
      <w:pPr>
        <w:numPr>
          <w:ilvl w:val="1"/>
          <w:numId w:val="6"/>
        </w:numPr>
        <w:rPr>
          <w:sz w:val="22"/>
        </w:rPr>
      </w:pPr>
      <w:r>
        <w:rPr>
          <w:rFonts w:hint="eastAsia"/>
          <w:sz w:val="22"/>
        </w:rPr>
        <w:t xml:space="preserve">  </w:t>
      </w:r>
      <w:r>
        <w:rPr>
          <w:rFonts w:hint="eastAsia"/>
          <w:sz w:val="22"/>
        </w:rPr>
        <w:t>受賞・表彰</w:t>
      </w:r>
    </w:p>
    <w:p w:rsidR="00931A0D" w:rsidRDefault="00931A0D">
      <w:pPr>
        <w:rPr>
          <w:sz w:val="22"/>
        </w:rPr>
      </w:pPr>
    </w:p>
    <w:p w:rsidR="00931A0D" w:rsidRDefault="00931A0D">
      <w:pPr>
        <w:numPr>
          <w:ilvl w:val="1"/>
          <w:numId w:val="6"/>
        </w:numPr>
        <w:rPr>
          <w:sz w:val="22"/>
        </w:rPr>
      </w:pPr>
      <w:r>
        <w:rPr>
          <w:rFonts w:hint="eastAsia"/>
          <w:sz w:val="22"/>
        </w:rPr>
        <w:t xml:space="preserve">　学会および社会的活動</w:t>
      </w:r>
    </w:p>
    <w:p w:rsidR="00931A0D" w:rsidRDefault="00931A0D">
      <w:pPr>
        <w:rPr>
          <w:sz w:val="22"/>
        </w:rPr>
      </w:pPr>
      <w:r>
        <w:rPr>
          <w:rFonts w:hint="eastAsia"/>
          <w:sz w:val="22"/>
        </w:rPr>
        <w:t>国際会議組織委員長、</w:t>
      </w:r>
      <w:r>
        <w:rPr>
          <w:sz w:val="22"/>
        </w:rPr>
        <w:t>”</w:t>
      </w:r>
      <w:r>
        <w:rPr>
          <w:rFonts w:hint="eastAsia"/>
          <w:sz w:val="22"/>
        </w:rPr>
        <w:t>8</w:t>
      </w:r>
      <w:r>
        <w:rPr>
          <w:rFonts w:hint="eastAsia"/>
          <w:sz w:val="22"/>
          <w:vertAlign w:val="superscript"/>
        </w:rPr>
        <w:t>th</w:t>
      </w:r>
      <w:r>
        <w:rPr>
          <w:rFonts w:hint="eastAsia"/>
          <w:sz w:val="22"/>
        </w:rPr>
        <w:t xml:space="preserve"> International Conference on Laser Applications in Life Sciences</w:t>
      </w:r>
      <w:r>
        <w:rPr>
          <w:sz w:val="22"/>
        </w:rPr>
        <w:t>”</w:t>
      </w:r>
      <w:r>
        <w:rPr>
          <w:rFonts w:hint="eastAsia"/>
          <w:sz w:val="22"/>
        </w:rPr>
        <w:t>, 2000</w:t>
      </w:r>
      <w:r>
        <w:rPr>
          <w:rFonts w:hint="eastAsia"/>
          <w:sz w:val="22"/>
        </w:rPr>
        <w:t>年</w:t>
      </w:r>
      <w:r>
        <w:rPr>
          <w:rFonts w:hint="eastAsia"/>
          <w:sz w:val="22"/>
        </w:rPr>
        <w:t>8</w:t>
      </w:r>
      <w:r>
        <w:rPr>
          <w:rFonts w:hint="eastAsia"/>
          <w:sz w:val="22"/>
        </w:rPr>
        <w:t>月、東京</w:t>
      </w:r>
    </w:p>
    <w:p w:rsidR="00AD2282" w:rsidRDefault="00AD2282">
      <w:pPr>
        <w:rPr>
          <w:sz w:val="22"/>
        </w:rPr>
      </w:pPr>
    </w:p>
    <w:p w:rsidR="00931A0D" w:rsidRPr="00392E6C" w:rsidRDefault="00931A0D" w:rsidP="00392E6C">
      <w:pPr>
        <w:pStyle w:val="a9"/>
        <w:numPr>
          <w:ilvl w:val="0"/>
          <w:numId w:val="18"/>
        </w:numPr>
        <w:ind w:leftChars="0"/>
        <w:rPr>
          <w:rFonts w:eastAsia="ＭＳ ゴシック"/>
          <w:b/>
          <w:sz w:val="22"/>
        </w:rPr>
      </w:pPr>
      <w:r w:rsidRPr="00392E6C">
        <w:rPr>
          <w:rFonts w:eastAsia="ＭＳ ゴシック" w:hint="eastAsia"/>
          <w:b/>
          <w:sz w:val="22"/>
        </w:rPr>
        <w:t>研究活動の課題と展望</w:t>
      </w:r>
    </w:p>
    <w:p w:rsidR="00931A0D" w:rsidRDefault="00931A0D">
      <w:pPr>
        <w:rPr>
          <w:sz w:val="22"/>
        </w:rPr>
      </w:pPr>
      <w:r>
        <w:rPr>
          <w:rFonts w:hint="eastAsia"/>
          <w:sz w:val="22"/>
        </w:rPr>
        <w:t xml:space="preserve">　本研究で目的とする光化学反応のレーザー制御を実現するためには、光励起後、振動冷却や振動エネルギーの分子内再配分が起こる前に生成物質のポテンシャル局面へ再励起する必要がある。このためにはフェムト秒のパルスレーザーによる</w:t>
      </w:r>
      <w:r>
        <w:rPr>
          <w:rFonts w:hint="eastAsia"/>
          <w:sz w:val="22"/>
        </w:rPr>
        <w:t>2</w:t>
      </w:r>
      <w:r>
        <w:rPr>
          <w:rFonts w:hint="eastAsia"/>
          <w:sz w:val="22"/>
        </w:rPr>
        <w:t>段階の光励起が必要なことが明らかとなった。次年度はフェムト秒の時間領域での光励起ダイナミックスの解明を目指す。</w:t>
      </w:r>
    </w:p>
    <w:sectPr w:rsidR="00931A0D" w:rsidSect="00C47CA6">
      <w:headerReference w:type="default" r:id="rId13"/>
      <w:pgSz w:w="11906" w:h="16838" w:code="9"/>
      <w:pgMar w:top="1474" w:right="1021" w:bottom="1814" w:left="1247" w:header="851" w:footer="992" w:gutter="0"/>
      <w:cols w:space="425"/>
      <w:docGrid w:type="linesAndChars" w:linePitch="33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AA" w:rsidRDefault="00043BAA">
      <w:r>
        <w:separator/>
      </w:r>
    </w:p>
  </w:endnote>
  <w:endnote w:type="continuationSeparator" w:id="0">
    <w:p w:rsidR="00043BAA" w:rsidRDefault="0004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AA" w:rsidRDefault="00043BAA">
      <w:r>
        <w:separator/>
      </w:r>
    </w:p>
  </w:footnote>
  <w:footnote w:type="continuationSeparator" w:id="0">
    <w:p w:rsidR="00043BAA" w:rsidRDefault="0004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1" w:rsidRPr="000E5661" w:rsidRDefault="000E5661" w:rsidP="000E5661">
    <w:pPr>
      <w:pStyle w:val="a3"/>
      <w:jc w:val="right"/>
      <w:rPr>
        <w:sz w:val="18"/>
        <w:szCs w:val="18"/>
      </w:rPr>
    </w:pPr>
    <w:r w:rsidRPr="000E5661">
      <w:rPr>
        <w:rFonts w:hint="eastAsia"/>
        <w:sz w:val="18"/>
        <w:szCs w:val="18"/>
      </w:rPr>
      <w:t>（更新日</w:t>
    </w:r>
    <w:r w:rsidR="00A13F2E">
      <w:rPr>
        <w:rFonts w:hint="eastAsia"/>
        <w:sz w:val="18"/>
        <w:szCs w:val="18"/>
      </w:rPr>
      <w:t>2017</w:t>
    </w:r>
    <w:r w:rsidRPr="000E5661">
      <w:rPr>
        <w:rFonts w:hint="eastAsia"/>
        <w:sz w:val="18"/>
        <w:szCs w:val="18"/>
      </w:rPr>
      <w:t>年</w:t>
    </w:r>
    <w:r w:rsidR="00A13F2E">
      <w:rPr>
        <w:rFonts w:hint="eastAsia"/>
        <w:sz w:val="18"/>
        <w:szCs w:val="18"/>
      </w:rPr>
      <w:t>9</w:t>
    </w:r>
    <w:r w:rsidRPr="000E5661">
      <w:rPr>
        <w:rFonts w:hint="eastAsia"/>
        <w:sz w:val="18"/>
        <w:szCs w:val="18"/>
      </w:rPr>
      <w:t>月）様式</w:t>
    </w:r>
    <w:r w:rsidRPr="000E5661">
      <w:rPr>
        <w:rFonts w:hint="eastAsia"/>
        <w:sz w:val="18"/>
        <w:szCs w:val="18"/>
      </w:rPr>
      <w:t>c04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96" w:rsidRPr="00A14B9A" w:rsidRDefault="00A60D96">
    <w:pPr>
      <w:pStyle w:val="a3"/>
      <w:wordWrap w:val="0"/>
      <w:jc w:val="right"/>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05A"/>
    <w:multiLevelType w:val="hybridMultilevel"/>
    <w:tmpl w:val="E4C6259A"/>
    <w:lvl w:ilvl="0" w:tplc="FBF47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AD2D62"/>
    <w:multiLevelType w:val="multilevel"/>
    <w:tmpl w:val="9844F902"/>
    <w:lvl w:ilvl="0">
      <w:start w:val="4"/>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nsid w:val="04765311"/>
    <w:multiLevelType w:val="multilevel"/>
    <w:tmpl w:val="E084DE04"/>
    <w:lvl w:ilvl="0">
      <w:start w:val="2"/>
      <w:numFmt w:val="decimal"/>
      <w:lvlText w:val="%1"/>
      <w:lvlJc w:val="left"/>
      <w:pPr>
        <w:tabs>
          <w:tab w:val="num" w:pos="495"/>
        </w:tabs>
        <w:ind w:left="495" w:hanging="495"/>
      </w:pPr>
      <w:rPr>
        <w:rFonts w:hint="eastAsia"/>
      </w:rPr>
    </w:lvl>
    <w:lvl w:ilvl="1">
      <w:start w:val="3"/>
      <w:numFmt w:val="decimal"/>
      <w:lvlText w:val="%1.%2"/>
      <w:lvlJc w:val="left"/>
      <w:pPr>
        <w:tabs>
          <w:tab w:val="num" w:pos="495"/>
        </w:tabs>
        <w:ind w:left="495" w:hanging="495"/>
      </w:pPr>
      <w:rPr>
        <w:rFonts w:hint="eastAsia"/>
      </w:rPr>
    </w:lvl>
    <w:lvl w:ilvl="2">
      <w:start w:val="1"/>
      <w:numFmt w:val="decimal"/>
      <w:lvlText w:val="%1.%2.%3"/>
      <w:lvlJc w:val="left"/>
      <w:pPr>
        <w:tabs>
          <w:tab w:val="num" w:pos="495"/>
        </w:tabs>
        <w:ind w:left="495" w:hanging="495"/>
      </w:pPr>
      <w:rPr>
        <w:rFonts w:hint="eastAsia"/>
      </w:rPr>
    </w:lvl>
    <w:lvl w:ilvl="3">
      <w:start w:val="1"/>
      <w:numFmt w:val="decimal"/>
      <w:lvlText w:val="%1.%2.%3.%4"/>
      <w:lvlJc w:val="left"/>
      <w:pPr>
        <w:tabs>
          <w:tab w:val="num" w:pos="495"/>
        </w:tabs>
        <w:ind w:left="495" w:hanging="495"/>
      </w:pPr>
      <w:rPr>
        <w:rFonts w:hint="eastAsia"/>
      </w:rPr>
    </w:lvl>
    <w:lvl w:ilvl="4">
      <w:start w:val="1"/>
      <w:numFmt w:val="decimal"/>
      <w:lvlText w:val="%1.%2.%3.%4.%5"/>
      <w:lvlJc w:val="left"/>
      <w:pPr>
        <w:tabs>
          <w:tab w:val="num" w:pos="495"/>
        </w:tabs>
        <w:ind w:left="495" w:hanging="495"/>
      </w:pPr>
      <w:rPr>
        <w:rFonts w:hint="eastAsia"/>
      </w:rPr>
    </w:lvl>
    <w:lvl w:ilvl="5">
      <w:start w:val="1"/>
      <w:numFmt w:val="decimal"/>
      <w:lvlText w:val="%1.%2.%3.%4.%5.%6"/>
      <w:lvlJc w:val="left"/>
      <w:pPr>
        <w:tabs>
          <w:tab w:val="num" w:pos="495"/>
        </w:tabs>
        <w:ind w:left="495" w:hanging="495"/>
      </w:pPr>
      <w:rPr>
        <w:rFonts w:hint="eastAsia"/>
      </w:rPr>
    </w:lvl>
    <w:lvl w:ilvl="6">
      <w:start w:val="1"/>
      <w:numFmt w:val="decimal"/>
      <w:lvlText w:val="%1.%2.%3.%4.%5.%6.%7"/>
      <w:lvlJc w:val="left"/>
      <w:pPr>
        <w:tabs>
          <w:tab w:val="num" w:pos="495"/>
        </w:tabs>
        <w:ind w:left="495" w:hanging="495"/>
      </w:pPr>
      <w:rPr>
        <w:rFonts w:hint="eastAsia"/>
      </w:rPr>
    </w:lvl>
    <w:lvl w:ilvl="7">
      <w:start w:val="1"/>
      <w:numFmt w:val="decimal"/>
      <w:lvlText w:val="%1.%2.%3.%4.%5.%6.%7.%8"/>
      <w:lvlJc w:val="left"/>
      <w:pPr>
        <w:tabs>
          <w:tab w:val="num" w:pos="495"/>
        </w:tabs>
        <w:ind w:left="495" w:hanging="495"/>
      </w:pPr>
      <w:rPr>
        <w:rFonts w:hint="eastAsia"/>
      </w:rPr>
    </w:lvl>
    <w:lvl w:ilvl="8">
      <w:start w:val="1"/>
      <w:numFmt w:val="decimal"/>
      <w:lvlText w:val="%1.%2.%3.%4.%5.%6.%7.%8.%9"/>
      <w:lvlJc w:val="left"/>
      <w:pPr>
        <w:tabs>
          <w:tab w:val="num" w:pos="495"/>
        </w:tabs>
        <w:ind w:left="495" w:hanging="495"/>
      </w:pPr>
      <w:rPr>
        <w:rFonts w:hint="eastAsia"/>
      </w:rPr>
    </w:lvl>
  </w:abstractNum>
  <w:abstractNum w:abstractNumId="3">
    <w:nsid w:val="15BD3592"/>
    <w:multiLevelType w:val="hybridMultilevel"/>
    <w:tmpl w:val="D2524114"/>
    <w:lvl w:ilvl="0" w:tplc="FCC6D9E4">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ED7D92"/>
    <w:multiLevelType w:val="hybridMultilevel"/>
    <w:tmpl w:val="72EEA1AE"/>
    <w:lvl w:ilvl="0" w:tplc="FCC6D9E4">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F113EF"/>
    <w:multiLevelType w:val="hybridMultilevel"/>
    <w:tmpl w:val="9B720440"/>
    <w:lvl w:ilvl="0" w:tplc="9FB68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4D2127"/>
    <w:multiLevelType w:val="multilevel"/>
    <w:tmpl w:val="0DF23934"/>
    <w:lvl w:ilvl="0">
      <w:start w:val="2"/>
      <w:numFmt w:val="decimal"/>
      <w:lvlText w:val="%1"/>
      <w:lvlJc w:val="left"/>
      <w:pPr>
        <w:tabs>
          <w:tab w:val="num" w:pos="495"/>
        </w:tabs>
        <w:ind w:left="495" w:hanging="495"/>
      </w:pPr>
      <w:rPr>
        <w:rFonts w:hint="eastAsia"/>
      </w:rPr>
    </w:lvl>
    <w:lvl w:ilvl="1">
      <w:start w:val="2"/>
      <w:numFmt w:val="decimal"/>
      <w:lvlText w:val="%1.%2"/>
      <w:lvlJc w:val="left"/>
      <w:pPr>
        <w:tabs>
          <w:tab w:val="num" w:pos="495"/>
        </w:tabs>
        <w:ind w:left="495" w:hanging="495"/>
      </w:pPr>
      <w:rPr>
        <w:rFonts w:hint="eastAsia"/>
      </w:rPr>
    </w:lvl>
    <w:lvl w:ilvl="2">
      <w:start w:val="1"/>
      <w:numFmt w:val="decimal"/>
      <w:lvlText w:val="%1.%2.%3"/>
      <w:lvlJc w:val="left"/>
      <w:pPr>
        <w:tabs>
          <w:tab w:val="num" w:pos="495"/>
        </w:tabs>
        <w:ind w:left="495" w:hanging="495"/>
      </w:pPr>
      <w:rPr>
        <w:rFonts w:hint="eastAsia"/>
      </w:rPr>
    </w:lvl>
    <w:lvl w:ilvl="3">
      <w:start w:val="1"/>
      <w:numFmt w:val="decimal"/>
      <w:lvlText w:val="%1.%2.%3.%4"/>
      <w:lvlJc w:val="left"/>
      <w:pPr>
        <w:tabs>
          <w:tab w:val="num" w:pos="495"/>
        </w:tabs>
        <w:ind w:left="495" w:hanging="495"/>
      </w:pPr>
      <w:rPr>
        <w:rFonts w:hint="eastAsia"/>
      </w:rPr>
    </w:lvl>
    <w:lvl w:ilvl="4">
      <w:start w:val="1"/>
      <w:numFmt w:val="decimal"/>
      <w:lvlText w:val="%1.%2.%3.%4.%5"/>
      <w:lvlJc w:val="left"/>
      <w:pPr>
        <w:tabs>
          <w:tab w:val="num" w:pos="495"/>
        </w:tabs>
        <w:ind w:left="495" w:hanging="495"/>
      </w:pPr>
      <w:rPr>
        <w:rFonts w:hint="eastAsia"/>
      </w:rPr>
    </w:lvl>
    <w:lvl w:ilvl="5">
      <w:start w:val="1"/>
      <w:numFmt w:val="decimal"/>
      <w:lvlText w:val="%1.%2.%3.%4.%5.%6"/>
      <w:lvlJc w:val="left"/>
      <w:pPr>
        <w:tabs>
          <w:tab w:val="num" w:pos="495"/>
        </w:tabs>
        <w:ind w:left="495" w:hanging="495"/>
      </w:pPr>
      <w:rPr>
        <w:rFonts w:hint="eastAsia"/>
      </w:rPr>
    </w:lvl>
    <w:lvl w:ilvl="6">
      <w:start w:val="1"/>
      <w:numFmt w:val="decimal"/>
      <w:lvlText w:val="%1.%2.%3.%4.%5.%6.%7"/>
      <w:lvlJc w:val="left"/>
      <w:pPr>
        <w:tabs>
          <w:tab w:val="num" w:pos="495"/>
        </w:tabs>
        <w:ind w:left="495" w:hanging="495"/>
      </w:pPr>
      <w:rPr>
        <w:rFonts w:hint="eastAsia"/>
      </w:rPr>
    </w:lvl>
    <w:lvl w:ilvl="7">
      <w:start w:val="1"/>
      <w:numFmt w:val="decimal"/>
      <w:lvlText w:val="%1.%2.%3.%4.%5.%6.%7.%8"/>
      <w:lvlJc w:val="left"/>
      <w:pPr>
        <w:tabs>
          <w:tab w:val="num" w:pos="495"/>
        </w:tabs>
        <w:ind w:left="495" w:hanging="495"/>
      </w:pPr>
      <w:rPr>
        <w:rFonts w:hint="eastAsia"/>
      </w:rPr>
    </w:lvl>
    <w:lvl w:ilvl="8">
      <w:start w:val="1"/>
      <w:numFmt w:val="decimal"/>
      <w:lvlText w:val="%1.%2.%3.%4.%5.%6.%7.%8.%9"/>
      <w:lvlJc w:val="left"/>
      <w:pPr>
        <w:tabs>
          <w:tab w:val="num" w:pos="495"/>
        </w:tabs>
        <w:ind w:left="495" w:hanging="495"/>
      </w:pPr>
      <w:rPr>
        <w:rFonts w:hint="eastAsia"/>
      </w:rPr>
    </w:lvl>
  </w:abstractNum>
  <w:abstractNum w:abstractNumId="7">
    <w:nsid w:val="39104E98"/>
    <w:multiLevelType w:val="multilevel"/>
    <w:tmpl w:val="BEC40116"/>
    <w:lvl w:ilvl="0">
      <w:start w:val="4"/>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8">
    <w:nsid w:val="39860CEB"/>
    <w:multiLevelType w:val="singleLevel"/>
    <w:tmpl w:val="84EE11A6"/>
    <w:lvl w:ilvl="0">
      <w:start w:val="1"/>
      <w:numFmt w:val="decimalFullWidth"/>
      <w:lvlText w:val="%1．"/>
      <w:lvlJc w:val="left"/>
      <w:pPr>
        <w:tabs>
          <w:tab w:val="num" w:pos="405"/>
        </w:tabs>
        <w:ind w:left="405" w:hanging="405"/>
      </w:pPr>
      <w:rPr>
        <w:rFonts w:hint="eastAsia"/>
      </w:rPr>
    </w:lvl>
  </w:abstractNum>
  <w:abstractNum w:abstractNumId="9">
    <w:nsid w:val="40757716"/>
    <w:multiLevelType w:val="hybridMultilevel"/>
    <w:tmpl w:val="D018BD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992089"/>
    <w:multiLevelType w:val="hybridMultilevel"/>
    <w:tmpl w:val="988A63D2"/>
    <w:lvl w:ilvl="0" w:tplc="9C1C4CB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4064AC6"/>
    <w:multiLevelType w:val="multilevel"/>
    <w:tmpl w:val="93DCD964"/>
    <w:lvl w:ilvl="0">
      <w:start w:val="4"/>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2">
    <w:nsid w:val="4A69623B"/>
    <w:multiLevelType w:val="hybridMultilevel"/>
    <w:tmpl w:val="A66E7552"/>
    <w:lvl w:ilvl="0" w:tplc="FCC6D9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A072B7"/>
    <w:multiLevelType w:val="hybridMultilevel"/>
    <w:tmpl w:val="A28A050A"/>
    <w:lvl w:ilvl="0" w:tplc="FBF47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4185628"/>
    <w:multiLevelType w:val="multilevel"/>
    <w:tmpl w:val="29CA7A50"/>
    <w:lvl w:ilvl="0">
      <w:start w:val="3"/>
      <w:numFmt w:val="decimal"/>
      <w:lvlText w:val="%1"/>
      <w:lvlJc w:val="left"/>
      <w:pPr>
        <w:tabs>
          <w:tab w:val="num" w:pos="510"/>
        </w:tabs>
        <w:ind w:left="510" w:hanging="510"/>
      </w:pPr>
      <w:rPr>
        <w:rFonts w:hint="eastAsia"/>
      </w:rPr>
    </w:lvl>
    <w:lvl w:ilvl="1">
      <w:start w:val="3"/>
      <w:numFmt w:val="decimal"/>
      <w:lvlText w:val="%1.%2"/>
      <w:lvlJc w:val="left"/>
      <w:pPr>
        <w:tabs>
          <w:tab w:val="num" w:pos="510"/>
        </w:tabs>
        <w:ind w:left="510" w:hanging="510"/>
      </w:pPr>
      <w:rPr>
        <w:rFonts w:hint="eastAsia"/>
      </w:rPr>
    </w:lvl>
    <w:lvl w:ilvl="2">
      <w:start w:val="1"/>
      <w:numFmt w:val="decimal"/>
      <w:lvlText w:val="%1.%2.%3"/>
      <w:lvlJc w:val="left"/>
      <w:pPr>
        <w:tabs>
          <w:tab w:val="num" w:pos="510"/>
        </w:tabs>
        <w:ind w:left="510" w:hanging="510"/>
      </w:pPr>
      <w:rPr>
        <w:rFonts w:hint="eastAsia"/>
      </w:rPr>
    </w:lvl>
    <w:lvl w:ilvl="3">
      <w:start w:val="1"/>
      <w:numFmt w:val="decimal"/>
      <w:lvlText w:val="%1.%2.%3.%4"/>
      <w:lvlJc w:val="left"/>
      <w:pPr>
        <w:tabs>
          <w:tab w:val="num" w:pos="510"/>
        </w:tabs>
        <w:ind w:left="510" w:hanging="510"/>
      </w:pPr>
      <w:rPr>
        <w:rFonts w:hint="eastAsia"/>
      </w:rPr>
    </w:lvl>
    <w:lvl w:ilvl="4">
      <w:start w:val="1"/>
      <w:numFmt w:val="decimal"/>
      <w:lvlText w:val="%1.%2.%3.%4.%5"/>
      <w:lvlJc w:val="left"/>
      <w:pPr>
        <w:tabs>
          <w:tab w:val="num" w:pos="510"/>
        </w:tabs>
        <w:ind w:left="510" w:hanging="510"/>
      </w:pPr>
      <w:rPr>
        <w:rFonts w:hint="eastAsia"/>
      </w:rPr>
    </w:lvl>
    <w:lvl w:ilvl="5">
      <w:start w:val="1"/>
      <w:numFmt w:val="decimal"/>
      <w:lvlText w:val="%1.%2.%3.%4.%5.%6"/>
      <w:lvlJc w:val="left"/>
      <w:pPr>
        <w:tabs>
          <w:tab w:val="num" w:pos="510"/>
        </w:tabs>
        <w:ind w:left="510" w:hanging="510"/>
      </w:pPr>
      <w:rPr>
        <w:rFonts w:hint="eastAsia"/>
      </w:rPr>
    </w:lvl>
    <w:lvl w:ilvl="6">
      <w:start w:val="1"/>
      <w:numFmt w:val="decimal"/>
      <w:lvlText w:val="%1.%2.%3.%4.%5.%6.%7"/>
      <w:lvlJc w:val="left"/>
      <w:pPr>
        <w:tabs>
          <w:tab w:val="num" w:pos="510"/>
        </w:tabs>
        <w:ind w:left="510" w:hanging="510"/>
      </w:pPr>
      <w:rPr>
        <w:rFonts w:hint="eastAsia"/>
      </w:rPr>
    </w:lvl>
    <w:lvl w:ilvl="7">
      <w:start w:val="1"/>
      <w:numFmt w:val="decimal"/>
      <w:lvlText w:val="%1.%2.%3.%4.%5.%6.%7.%8"/>
      <w:lvlJc w:val="left"/>
      <w:pPr>
        <w:tabs>
          <w:tab w:val="num" w:pos="510"/>
        </w:tabs>
        <w:ind w:left="510" w:hanging="510"/>
      </w:pPr>
      <w:rPr>
        <w:rFonts w:hint="eastAsia"/>
      </w:rPr>
    </w:lvl>
    <w:lvl w:ilvl="8">
      <w:start w:val="1"/>
      <w:numFmt w:val="decimal"/>
      <w:lvlText w:val="%1.%2.%3.%4.%5.%6.%7.%8.%9"/>
      <w:lvlJc w:val="left"/>
      <w:pPr>
        <w:tabs>
          <w:tab w:val="num" w:pos="510"/>
        </w:tabs>
        <w:ind w:left="510" w:hanging="510"/>
      </w:pPr>
      <w:rPr>
        <w:rFonts w:hint="eastAsia"/>
      </w:rPr>
    </w:lvl>
  </w:abstractNum>
  <w:abstractNum w:abstractNumId="15">
    <w:nsid w:val="547E2A3A"/>
    <w:multiLevelType w:val="singleLevel"/>
    <w:tmpl w:val="3F702E40"/>
    <w:lvl w:ilvl="0">
      <w:start w:val="5"/>
      <w:numFmt w:val="bullet"/>
      <w:lvlText w:val="■"/>
      <w:lvlJc w:val="left"/>
      <w:pPr>
        <w:tabs>
          <w:tab w:val="num" w:pos="225"/>
        </w:tabs>
        <w:ind w:left="225" w:hanging="225"/>
      </w:pPr>
      <w:rPr>
        <w:rFonts w:ascii="ＭＳ 明朝" w:eastAsia="ＭＳ 明朝" w:hAnsi="ＭＳ 明朝" w:hint="eastAsia"/>
      </w:rPr>
    </w:lvl>
  </w:abstractNum>
  <w:abstractNum w:abstractNumId="16">
    <w:nsid w:val="79981A4A"/>
    <w:multiLevelType w:val="multilevel"/>
    <w:tmpl w:val="83BE8872"/>
    <w:lvl w:ilvl="0">
      <w:start w:val="4"/>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7">
    <w:nsid w:val="7B536CAD"/>
    <w:multiLevelType w:val="multilevel"/>
    <w:tmpl w:val="01DCB746"/>
    <w:lvl w:ilvl="0">
      <w:start w:val="4"/>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8"/>
  </w:num>
  <w:num w:numId="2">
    <w:abstractNumId w:val="6"/>
  </w:num>
  <w:num w:numId="3">
    <w:abstractNumId w:val="2"/>
  </w:num>
  <w:num w:numId="4">
    <w:abstractNumId w:val="14"/>
  </w:num>
  <w:num w:numId="5">
    <w:abstractNumId w:val="16"/>
  </w:num>
  <w:num w:numId="6">
    <w:abstractNumId w:val="1"/>
  </w:num>
  <w:num w:numId="7">
    <w:abstractNumId w:val="7"/>
  </w:num>
  <w:num w:numId="8">
    <w:abstractNumId w:val="17"/>
  </w:num>
  <w:num w:numId="9">
    <w:abstractNumId w:val="11"/>
  </w:num>
  <w:num w:numId="10">
    <w:abstractNumId w:val="15"/>
  </w:num>
  <w:num w:numId="11">
    <w:abstractNumId w:val="5"/>
  </w:num>
  <w:num w:numId="12">
    <w:abstractNumId w:val="9"/>
  </w:num>
  <w:num w:numId="13">
    <w:abstractNumId w:val="4"/>
  </w:num>
  <w:num w:numId="14">
    <w:abstractNumId w:val="3"/>
  </w:num>
  <w:num w:numId="15">
    <w:abstractNumId w:val="13"/>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AE"/>
    <w:rsid w:val="00043BAA"/>
    <w:rsid w:val="00054BA0"/>
    <w:rsid w:val="000E5661"/>
    <w:rsid w:val="00101B6D"/>
    <w:rsid w:val="00101C0E"/>
    <w:rsid w:val="0011596D"/>
    <w:rsid w:val="001300B5"/>
    <w:rsid w:val="001F6906"/>
    <w:rsid w:val="002018C3"/>
    <w:rsid w:val="00244071"/>
    <w:rsid w:val="00351DCA"/>
    <w:rsid w:val="00362223"/>
    <w:rsid w:val="00392E6C"/>
    <w:rsid w:val="0040146F"/>
    <w:rsid w:val="004063DD"/>
    <w:rsid w:val="004237EA"/>
    <w:rsid w:val="00484877"/>
    <w:rsid w:val="004A13AF"/>
    <w:rsid w:val="004E78FF"/>
    <w:rsid w:val="00762C9D"/>
    <w:rsid w:val="00795F77"/>
    <w:rsid w:val="007E6107"/>
    <w:rsid w:val="008162C5"/>
    <w:rsid w:val="0088141F"/>
    <w:rsid w:val="00893F5A"/>
    <w:rsid w:val="00931A0D"/>
    <w:rsid w:val="0094034A"/>
    <w:rsid w:val="009D33F8"/>
    <w:rsid w:val="009E5CA6"/>
    <w:rsid w:val="00A13F2E"/>
    <w:rsid w:val="00A14B9A"/>
    <w:rsid w:val="00A21091"/>
    <w:rsid w:val="00A60D96"/>
    <w:rsid w:val="00A661FE"/>
    <w:rsid w:val="00A849AC"/>
    <w:rsid w:val="00A960B4"/>
    <w:rsid w:val="00AD0251"/>
    <w:rsid w:val="00AD2282"/>
    <w:rsid w:val="00B25AAE"/>
    <w:rsid w:val="00B855F6"/>
    <w:rsid w:val="00C47CA6"/>
    <w:rsid w:val="00C7011E"/>
    <w:rsid w:val="00E10F7E"/>
    <w:rsid w:val="00E84665"/>
    <w:rsid w:val="00FA4B8C"/>
    <w:rsid w:val="00FF2C94"/>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A14B9A"/>
    <w:rPr>
      <w:kern w:val="2"/>
      <w:sz w:val="21"/>
    </w:rPr>
  </w:style>
  <w:style w:type="character" w:styleId="a7">
    <w:name w:val="Hyperlink"/>
    <w:rsid w:val="00A21091"/>
    <w:rPr>
      <w:color w:val="0000FF"/>
      <w:u w:val="single"/>
    </w:rPr>
  </w:style>
  <w:style w:type="table" w:styleId="a8">
    <w:name w:val="Table Grid"/>
    <w:basedOn w:val="a1"/>
    <w:rsid w:val="00130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92E6C"/>
    <w:pPr>
      <w:ind w:leftChars="400" w:left="840"/>
    </w:pPr>
  </w:style>
  <w:style w:type="character" w:customStyle="1" w:styleId="a4">
    <w:name w:val="ヘッダー (文字)"/>
    <w:basedOn w:val="a0"/>
    <w:link w:val="a3"/>
    <w:uiPriority w:val="99"/>
    <w:rsid w:val="000E5661"/>
    <w:rPr>
      <w:kern w:val="2"/>
      <w:sz w:val="21"/>
    </w:rPr>
  </w:style>
  <w:style w:type="paragraph" w:styleId="aa">
    <w:name w:val="Balloon Text"/>
    <w:basedOn w:val="a"/>
    <w:link w:val="ab"/>
    <w:rsid w:val="000E5661"/>
    <w:rPr>
      <w:rFonts w:asciiTheme="majorHAnsi" w:eastAsiaTheme="majorEastAsia" w:hAnsiTheme="majorHAnsi" w:cstheme="majorBidi"/>
      <w:sz w:val="18"/>
      <w:szCs w:val="18"/>
    </w:rPr>
  </w:style>
  <w:style w:type="character" w:customStyle="1" w:styleId="ab">
    <w:name w:val="吹き出し (文字)"/>
    <w:basedOn w:val="a0"/>
    <w:link w:val="aa"/>
    <w:rsid w:val="000E566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A14B9A"/>
    <w:rPr>
      <w:kern w:val="2"/>
      <w:sz w:val="21"/>
    </w:rPr>
  </w:style>
  <w:style w:type="character" w:styleId="a7">
    <w:name w:val="Hyperlink"/>
    <w:rsid w:val="00A21091"/>
    <w:rPr>
      <w:color w:val="0000FF"/>
      <w:u w:val="single"/>
    </w:rPr>
  </w:style>
  <w:style w:type="table" w:styleId="a8">
    <w:name w:val="Table Grid"/>
    <w:basedOn w:val="a1"/>
    <w:rsid w:val="00130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92E6C"/>
    <w:pPr>
      <w:ind w:leftChars="400" w:left="840"/>
    </w:pPr>
  </w:style>
  <w:style w:type="character" w:customStyle="1" w:styleId="a4">
    <w:name w:val="ヘッダー (文字)"/>
    <w:basedOn w:val="a0"/>
    <w:link w:val="a3"/>
    <w:uiPriority w:val="99"/>
    <w:rsid w:val="000E5661"/>
    <w:rPr>
      <w:kern w:val="2"/>
      <w:sz w:val="21"/>
    </w:rPr>
  </w:style>
  <w:style w:type="paragraph" w:styleId="aa">
    <w:name w:val="Balloon Text"/>
    <w:basedOn w:val="a"/>
    <w:link w:val="ab"/>
    <w:rsid w:val="000E5661"/>
    <w:rPr>
      <w:rFonts w:asciiTheme="majorHAnsi" w:eastAsiaTheme="majorEastAsia" w:hAnsiTheme="majorHAnsi" w:cstheme="majorBidi"/>
      <w:sz w:val="18"/>
      <w:szCs w:val="18"/>
    </w:rPr>
  </w:style>
  <w:style w:type="character" w:customStyle="1" w:styleId="ab">
    <w:name w:val="吹き出し (文字)"/>
    <w:basedOn w:val="a0"/>
    <w:link w:val="aa"/>
    <w:rsid w:val="000E56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217D-6817-46B3-AA7B-D9D955CA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706</Words>
  <Characters>4029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反応ダイナミックスのレーザー制御の研究</vt:lpstr>
      <vt:lpstr>反応ダイナミックスのレーザー制御の研究</vt:lpstr>
    </vt:vector>
  </TitlesOfParts>
  <Company>Waseda University</Company>
  <LinksUpToDate>false</LinksUpToDate>
  <CharactersWithSpaces>4726</CharactersWithSpaces>
  <SharedDoc>false</SharedDoc>
  <HLinks>
    <vt:vector size="6" baseType="variant">
      <vt:variant>
        <vt:i4>3801142</vt:i4>
      </vt:variant>
      <vt:variant>
        <vt:i4>0</vt:i4>
      </vt:variant>
      <vt:variant>
        <vt:i4>0</vt:i4>
      </vt:variant>
      <vt:variant>
        <vt:i4>5</vt:i4>
      </vt:variant>
      <vt:variant>
        <vt:lpwstr>http://www.rise.waseda.ac.jp/form/index.html</vt:lpwstr>
      </vt:variant>
      <vt:variant>
        <vt:lpwstr>pb</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反応ダイナミックスのレーザー制御の研究</dc:title>
  <dc:creator>Hiroaki TAKAKASHI</dc:creator>
  <cp:lastModifiedBy>理工研事務所</cp:lastModifiedBy>
  <cp:revision>11</cp:revision>
  <cp:lastPrinted>2015-06-30T01:10:00Z</cp:lastPrinted>
  <dcterms:created xsi:type="dcterms:W3CDTF">2015-08-25T02:30:00Z</dcterms:created>
  <dcterms:modified xsi:type="dcterms:W3CDTF">2017-08-24T07:46:00Z</dcterms:modified>
</cp:coreProperties>
</file>