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C7733" w14:textId="036D1DD6" w:rsidR="00B16F04" w:rsidRDefault="00B16F04" w:rsidP="00B16F04">
      <w:pPr>
        <w:pStyle w:val="1"/>
        <w:rPr>
          <w:rFonts w:ascii="Times New Roman" w:hAnsi="Times New Roman" w:cs="Times New Roman"/>
          <w:noProof/>
          <w:lang w:eastAsia="ja-JP"/>
        </w:rPr>
      </w:pPr>
      <w:r>
        <w:rPr>
          <w:rFonts w:hint="eastAsia"/>
          <w:noProof/>
          <w:lang w:val="en-US" w:eastAsia="ja-JP"/>
        </w:rPr>
        <w:t xml:space="preserve">  </w:t>
      </w:r>
      <w:r>
        <w:rPr>
          <w:noProof/>
          <w:lang w:val="en-US" w:eastAsia="ja-JP"/>
        </w:rPr>
        <w:drawing>
          <wp:inline distT="0" distB="0" distL="0" distR="0" wp14:anchorId="7CDF80A3" wp14:editId="4C80230D">
            <wp:extent cx="1428750" cy="714375"/>
            <wp:effectExtent l="0" t="0" r="0" b="9525"/>
            <wp:docPr id="1" name="図 1" descr="æ©ç¨²ç°å¤§å­¦ ç¾ä»£æ¿æ²»çµæ¸ç ç©¶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æ©ç¨²ç°å¤§å­¦ ç¾ä»£æ¿æ²»çµæ¸ç ç©¶æ"/>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978" cy="716489"/>
                    </a:xfrm>
                    <a:prstGeom prst="rect">
                      <a:avLst/>
                    </a:prstGeom>
                    <a:noFill/>
                    <a:ln>
                      <a:noFill/>
                    </a:ln>
                  </pic:spPr>
                </pic:pic>
              </a:graphicData>
            </a:graphic>
          </wp:inline>
        </w:drawing>
      </w:r>
      <w:r w:rsidRPr="00B16F04">
        <w:t xml:space="preserve"> </w:t>
      </w:r>
      <w:r>
        <w:rPr>
          <w:rFonts w:hint="eastAsia"/>
          <w:noProof/>
          <w:lang w:val="en-US" w:eastAsia="ja-JP"/>
        </w:rPr>
        <w:t xml:space="preserve">     </w:t>
      </w:r>
      <w:r>
        <w:rPr>
          <w:noProof/>
          <w:lang w:val="en-US" w:eastAsia="ja-JP"/>
        </w:rPr>
        <w:drawing>
          <wp:inline distT="0" distB="0" distL="0" distR="0" wp14:anchorId="06B73DCD" wp14:editId="47DF1771">
            <wp:extent cx="1690577" cy="710288"/>
            <wp:effectExtent l="0" t="0" r="5080" b="0"/>
            <wp:docPr id="2" name="図 2" descr="ãTop global university logo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Top global university logoãã®ç»åæ¤ç´¢çµ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577" cy="710288"/>
                    </a:xfrm>
                    <a:prstGeom prst="rect">
                      <a:avLst/>
                    </a:prstGeom>
                    <a:noFill/>
                    <a:ln>
                      <a:noFill/>
                    </a:ln>
                  </pic:spPr>
                </pic:pic>
              </a:graphicData>
            </a:graphic>
          </wp:inline>
        </w:drawing>
      </w:r>
      <w:r w:rsidRPr="00B16F04">
        <w:rPr>
          <w:noProof/>
          <w:lang w:val="en-US" w:eastAsia="ja-JP"/>
        </w:rPr>
        <w:t xml:space="preserve"> </w:t>
      </w:r>
      <w:r>
        <w:rPr>
          <w:rFonts w:hint="eastAsia"/>
          <w:noProof/>
          <w:lang w:val="en-US" w:eastAsia="ja-JP"/>
        </w:rPr>
        <w:t xml:space="preserve">     </w:t>
      </w:r>
      <w:r>
        <w:rPr>
          <w:noProof/>
          <w:lang w:val="en-US" w:eastAsia="ja-JP"/>
        </w:rPr>
        <w:drawing>
          <wp:inline distT="0" distB="0" distL="0" distR="0" wp14:anchorId="3AB182A6" wp14:editId="46EDFAF6">
            <wp:extent cx="1235161" cy="619125"/>
            <wp:effectExtent l="0" t="0" r="3175" b="0"/>
            <wp:docPr id="3" name="図 3" descr="ãEUIJ waseda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EUIJ wasedaãã®ç»åæ¤ç´¢çµæ"/>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430" cy="619260"/>
                    </a:xfrm>
                    <a:prstGeom prst="rect">
                      <a:avLst/>
                    </a:prstGeom>
                    <a:noFill/>
                    <a:ln>
                      <a:noFill/>
                    </a:ln>
                  </pic:spPr>
                </pic:pic>
              </a:graphicData>
            </a:graphic>
          </wp:inline>
        </w:drawing>
      </w:r>
      <w:r w:rsidRPr="00B16F04">
        <w:rPr>
          <w:noProof/>
          <w:lang w:val="en-US"/>
        </w:rPr>
        <w:t xml:space="preserve"> </w:t>
      </w:r>
      <w:r>
        <w:rPr>
          <w:rFonts w:hint="eastAsia"/>
          <w:noProof/>
          <w:lang w:val="en-US" w:eastAsia="ja-JP"/>
        </w:rPr>
        <w:t xml:space="preserve">  </w:t>
      </w:r>
      <w:r>
        <w:rPr>
          <w:noProof/>
          <w:lang w:val="en-US" w:eastAsia="ja-JP"/>
        </w:rPr>
        <w:drawing>
          <wp:inline distT="0" distB="0" distL="0" distR="0" wp14:anchorId="2EBD4902" wp14:editId="2EA6A8DF">
            <wp:extent cx="914400" cy="914400"/>
            <wp:effectExtent l="0" t="0" r="0" b="0"/>
            <wp:docPr id="7" name="図 7" descr="ãæ©ç¨²ç° æ¿æ²»çµæ¸å­¦è¡é¢ ã­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ãæ©ç¨²ç° æ¿æ²»çµæ¸å­¦è¡é¢ ã­ã´ãã®ç»åæ¤ç´¢çµæ"/>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333" cy="916333"/>
                    </a:xfrm>
                    <a:prstGeom prst="rect">
                      <a:avLst/>
                    </a:prstGeom>
                    <a:noFill/>
                    <a:ln>
                      <a:noFill/>
                    </a:ln>
                  </pic:spPr>
                </pic:pic>
              </a:graphicData>
            </a:graphic>
          </wp:inline>
        </w:drawing>
      </w:r>
    </w:p>
    <w:p w14:paraId="0756D7EA" w14:textId="04CB0758" w:rsidR="006D4594" w:rsidRPr="006D4594" w:rsidRDefault="006D4594" w:rsidP="006D4594">
      <w:pPr>
        <w:pStyle w:val="1"/>
        <w:jc w:val="center"/>
        <w:rPr>
          <w:b/>
          <w:lang w:eastAsia="ja-JP"/>
        </w:rPr>
      </w:pPr>
      <w:r w:rsidRPr="006D4594">
        <w:rPr>
          <w:rFonts w:hint="eastAsia"/>
          <w:b/>
        </w:rPr>
        <w:t xml:space="preserve">International </w:t>
      </w:r>
      <w:r w:rsidR="00F86FC6" w:rsidRPr="006D4594">
        <w:rPr>
          <w:b/>
        </w:rPr>
        <w:t>Workshop</w:t>
      </w:r>
      <w:r w:rsidRPr="006D4594">
        <w:rPr>
          <w:rFonts w:hint="eastAsia"/>
          <w:b/>
        </w:rPr>
        <w:t xml:space="preserve"> on </w:t>
      </w:r>
      <w:r w:rsidR="00F86FC6" w:rsidRPr="006D4594">
        <w:rPr>
          <w:b/>
        </w:rPr>
        <w:br/>
      </w:r>
      <w:r w:rsidR="008604E9">
        <w:rPr>
          <w:rFonts w:hint="eastAsia"/>
          <w:b/>
          <w:lang w:eastAsia="ja-JP"/>
        </w:rPr>
        <w:t>M</w:t>
      </w:r>
      <w:r w:rsidR="000C5F0E" w:rsidRPr="006D4594">
        <w:rPr>
          <w:b/>
        </w:rPr>
        <w:t>easur</w:t>
      </w:r>
      <w:r w:rsidR="008604E9">
        <w:rPr>
          <w:rFonts w:hint="eastAsia"/>
          <w:b/>
          <w:lang w:eastAsia="ja-JP"/>
        </w:rPr>
        <w:t>ing</w:t>
      </w:r>
      <w:r w:rsidR="000C5F0E" w:rsidRPr="006D4594">
        <w:rPr>
          <w:b/>
        </w:rPr>
        <w:t xml:space="preserve"> </w:t>
      </w:r>
      <w:r w:rsidR="008604E9">
        <w:rPr>
          <w:rFonts w:hint="eastAsia"/>
          <w:b/>
          <w:lang w:eastAsia="ja-JP"/>
        </w:rPr>
        <w:t>P</w:t>
      </w:r>
      <w:r w:rsidR="000C5F0E" w:rsidRPr="006D4594">
        <w:rPr>
          <w:b/>
        </w:rPr>
        <w:t xml:space="preserve">arty </w:t>
      </w:r>
      <w:r w:rsidR="008604E9">
        <w:rPr>
          <w:rFonts w:hint="eastAsia"/>
          <w:b/>
          <w:lang w:eastAsia="ja-JP"/>
        </w:rPr>
        <w:t>P</w:t>
      </w:r>
      <w:r w:rsidR="000C5F0E" w:rsidRPr="006D4594">
        <w:rPr>
          <w:b/>
        </w:rPr>
        <w:t xml:space="preserve">reference </w:t>
      </w:r>
      <w:r w:rsidR="008604E9">
        <w:rPr>
          <w:rFonts w:hint="eastAsia"/>
          <w:b/>
          <w:lang w:eastAsia="ja-JP"/>
        </w:rPr>
        <w:t>in Electoral Studies</w:t>
      </w:r>
      <w:r w:rsidR="000311CD" w:rsidRPr="006D4594">
        <w:rPr>
          <w:b/>
        </w:rPr>
        <w:br/>
      </w:r>
    </w:p>
    <w:p w14:paraId="235B6261" w14:textId="5E8F7BB9" w:rsidR="006D4594" w:rsidRPr="00AF441C" w:rsidRDefault="006D4594" w:rsidP="006D4594">
      <w:pPr>
        <w:jc w:val="center"/>
        <w:rPr>
          <w:rFonts w:asciiTheme="majorHAnsi" w:hAnsiTheme="majorHAnsi" w:cs="Times New Roman"/>
          <w:b/>
          <w:sz w:val="24"/>
          <w:szCs w:val="24"/>
          <w:lang w:eastAsia="ja-JP"/>
        </w:rPr>
      </w:pPr>
      <w:r w:rsidRPr="00AF441C">
        <w:rPr>
          <w:rFonts w:asciiTheme="majorHAnsi" w:hAnsiTheme="majorHAnsi" w:cs="Times New Roman"/>
          <w:b/>
          <w:sz w:val="24"/>
          <w:szCs w:val="24"/>
          <w:lang w:eastAsia="ja-JP"/>
        </w:rPr>
        <w:t>1</w:t>
      </w:r>
      <w:r w:rsidRPr="00AF441C">
        <w:rPr>
          <w:rFonts w:asciiTheme="majorHAnsi" w:hAnsiTheme="majorHAnsi" w:cs="Times New Roman"/>
          <w:b/>
          <w:sz w:val="24"/>
          <w:szCs w:val="24"/>
        </w:rPr>
        <w:t xml:space="preserve"> October, 2018 (Monday)</w:t>
      </w:r>
      <w:r w:rsidR="00E83BC4">
        <w:rPr>
          <w:rFonts w:asciiTheme="majorHAnsi" w:hAnsiTheme="majorHAnsi" w:cs="Times New Roman"/>
          <w:b/>
          <w:sz w:val="24"/>
          <w:szCs w:val="24"/>
          <w:lang w:eastAsia="ja-JP"/>
        </w:rPr>
        <w:t>, 14:</w:t>
      </w:r>
      <w:r w:rsidR="00E83BC4">
        <w:rPr>
          <w:rFonts w:asciiTheme="majorHAnsi" w:hAnsiTheme="majorHAnsi" w:cs="Times New Roman" w:hint="eastAsia"/>
          <w:b/>
          <w:sz w:val="24"/>
          <w:szCs w:val="24"/>
          <w:lang w:eastAsia="ja-JP"/>
        </w:rPr>
        <w:t>0</w:t>
      </w:r>
      <w:r w:rsidRPr="00AF441C">
        <w:rPr>
          <w:rFonts w:asciiTheme="majorHAnsi" w:hAnsiTheme="majorHAnsi" w:cs="Times New Roman"/>
          <w:b/>
          <w:sz w:val="24"/>
          <w:szCs w:val="24"/>
          <w:lang w:eastAsia="ja-JP"/>
        </w:rPr>
        <w:t>0-18:</w:t>
      </w:r>
      <w:r w:rsidR="00E83BC4">
        <w:rPr>
          <w:rFonts w:asciiTheme="majorHAnsi" w:hAnsiTheme="majorHAnsi" w:cs="Times New Roman" w:hint="eastAsia"/>
          <w:b/>
          <w:sz w:val="24"/>
          <w:szCs w:val="24"/>
          <w:lang w:eastAsia="ja-JP"/>
        </w:rPr>
        <w:t>3</w:t>
      </w:r>
      <w:r w:rsidRPr="00AF441C">
        <w:rPr>
          <w:rFonts w:asciiTheme="majorHAnsi" w:hAnsiTheme="majorHAnsi" w:cs="Times New Roman"/>
          <w:b/>
          <w:sz w:val="24"/>
          <w:szCs w:val="24"/>
          <w:lang w:eastAsia="ja-JP"/>
        </w:rPr>
        <w:t>0</w:t>
      </w:r>
    </w:p>
    <w:p w14:paraId="03D9F058" w14:textId="77777777" w:rsidR="006D4594" w:rsidRPr="00AF441C" w:rsidRDefault="006D4594" w:rsidP="006D4594">
      <w:pPr>
        <w:jc w:val="center"/>
        <w:rPr>
          <w:rFonts w:asciiTheme="majorHAnsi" w:hAnsiTheme="majorHAnsi" w:cs="Times New Roman"/>
          <w:b/>
          <w:sz w:val="24"/>
          <w:szCs w:val="24"/>
        </w:rPr>
      </w:pPr>
      <w:r w:rsidRPr="00AF441C">
        <w:rPr>
          <w:rFonts w:asciiTheme="majorHAnsi" w:hAnsiTheme="majorHAnsi" w:cs="Times New Roman"/>
          <w:b/>
          <w:sz w:val="24"/>
          <w:szCs w:val="24"/>
        </w:rPr>
        <w:t>Waseda University, Building No. 3, 10th floor, Conference Room No.1</w:t>
      </w:r>
      <w:bookmarkStart w:id="0" w:name="_GoBack"/>
      <w:bookmarkEnd w:id="0"/>
    </w:p>
    <w:p w14:paraId="46FDB42A" w14:textId="32F81193" w:rsidR="006D4594" w:rsidRDefault="006D4594" w:rsidP="006D4594">
      <w:pPr>
        <w:jc w:val="center"/>
        <w:rPr>
          <w:rFonts w:ascii="Times New Roman" w:hAnsi="Times New Roman" w:cs="Times New Roman"/>
          <w:sz w:val="24"/>
          <w:lang w:eastAsia="ja-JP"/>
        </w:rPr>
      </w:pPr>
      <w:r w:rsidRPr="00AF441C">
        <w:rPr>
          <w:rFonts w:asciiTheme="majorHAnsi" w:hAnsiTheme="majorHAnsi" w:cs="Times New Roman"/>
          <w:sz w:val="24"/>
        </w:rPr>
        <w:t>Supported by WINPEC</w:t>
      </w:r>
      <w:r w:rsidR="00AF441C">
        <w:rPr>
          <w:rFonts w:asciiTheme="majorHAnsi" w:hAnsiTheme="majorHAnsi" w:cs="Times New Roman" w:hint="eastAsia"/>
          <w:sz w:val="24"/>
          <w:lang w:eastAsia="ja-JP"/>
        </w:rPr>
        <w:t xml:space="preserve"> </w:t>
      </w:r>
      <w:r w:rsidRPr="00AF441C">
        <w:rPr>
          <w:rFonts w:asciiTheme="majorHAnsi" w:hAnsiTheme="majorHAnsi" w:cs="Times New Roman"/>
          <w:sz w:val="24"/>
        </w:rPr>
        <w:t xml:space="preserve">(Waseda </w:t>
      </w:r>
      <w:proofErr w:type="spellStart"/>
      <w:r w:rsidRPr="00AF441C">
        <w:rPr>
          <w:rFonts w:asciiTheme="majorHAnsi" w:hAnsiTheme="majorHAnsi" w:cs="Times New Roman"/>
          <w:sz w:val="24"/>
        </w:rPr>
        <w:t>INstitute</w:t>
      </w:r>
      <w:proofErr w:type="spellEnd"/>
      <w:r w:rsidRPr="00AF441C">
        <w:rPr>
          <w:rFonts w:asciiTheme="majorHAnsi" w:hAnsiTheme="majorHAnsi" w:cs="Times New Roman"/>
          <w:sz w:val="24"/>
        </w:rPr>
        <w:t xml:space="preserve"> of Political Economy)</w:t>
      </w:r>
      <w:r w:rsidRPr="00AF441C">
        <w:rPr>
          <w:rFonts w:asciiTheme="majorHAnsi" w:hAnsiTheme="majorHAnsi" w:cs="Times New Roman"/>
          <w:sz w:val="24"/>
          <w:lang w:eastAsia="ja-JP"/>
        </w:rPr>
        <w:t xml:space="preserve">, </w:t>
      </w:r>
      <w:r w:rsidR="001902AE">
        <w:rPr>
          <w:rFonts w:asciiTheme="majorHAnsi" w:hAnsiTheme="majorHAnsi" w:cs="Times New Roman" w:hint="eastAsia"/>
          <w:sz w:val="24"/>
          <w:lang w:eastAsia="ja-JP"/>
        </w:rPr>
        <w:t xml:space="preserve">the Delegation of the European Union to Japan, </w:t>
      </w:r>
      <w:r w:rsidRPr="00AF441C">
        <w:rPr>
          <w:rFonts w:asciiTheme="majorHAnsi" w:hAnsiTheme="majorHAnsi" w:cs="Times New Roman"/>
          <w:sz w:val="24"/>
        </w:rPr>
        <w:t xml:space="preserve">Top Global University </w:t>
      </w:r>
      <w:r w:rsidR="001902AE">
        <w:rPr>
          <w:rFonts w:asciiTheme="majorHAnsi" w:hAnsiTheme="majorHAnsi" w:cs="Times New Roman" w:hint="eastAsia"/>
          <w:sz w:val="24"/>
          <w:lang w:eastAsia="ja-JP"/>
        </w:rPr>
        <w:t xml:space="preserve">- </w:t>
      </w:r>
      <w:proofErr w:type="spellStart"/>
      <w:r w:rsidRPr="00AF441C">
        <w:rPr>
          <w:rFonts w:asciiTheme="majorHAnsi" w:hAnsiTheme="majorHAnsi" w:cs="Times New Roman"/>
          <w:sz w:val="24"/>
        </w:rPr>
        <w:t>Center</w:t>
      </w:r>
      <w:proofErr w:type="spellEnd"/>
      <w:r w:rsidRPr="00AF441C">
        <w:rPr>
          <w:rFonts w:asciiTheme="majorHAnsi" w:hAnsiTheme="majorHAnsi" w:cs="Times New Roman"/>
          <w:sz w:val="24"/>
        </w:rPr>
        <w:t xml:space="preserve"> for Positive/Empirical Analysis of Political Economy, </w:t>
      </w:r>
      <w:r w:rsidR="00B16F04" w:rsidRPr="00AF441C">
        <w:rPr>
          <w:rFonts w:asciiTheme="majorHAnsi" w:hAnsiTheme="majorHAnsi" w:cs="Times New Roman"/>
          <w:sz w:val="24"/>
          <w:lang w:eastAsia="ja-JP"/>
        </w:rPr>
        <w:t xml:space="preserve">Waseda Institute for British Studies, EUIJ Waseda, </w:t>
      </w:r>
      <w:r w:rsidRPr="00AF441C">
        <w:rPr>
          <w:rFonts w:asciiTheme="majorHAnsi" w:hAnsiTheme="majorHAnsi" w:cs="Times New Roman"/>
          <w:sz w:val="24"/>
        </w:rPr>
        <w:t>Faculty of Political Science and Economics</w:t>
      </w:r>
    </w:p>
    <w:p w14:paraId="536A0A0A" w14:textId="3E789CEC" w:rsidR="006D4594" w:rsidRPr="006D4594" w:rsidRDefault="006D4594" w:rsidP="006D4594">
      <w:pPr>
        <w:pStyle w:val="1"/>
        <w:jc w:val="center"/>
        <w:rPr>
          <w:b/>
          <w:lang w:eastAsia="ja-JP"/>
        </w:rPr>
      </w:pPr>
      <w:r w:rsidRPr="006D4594">
        <w:rPr>
          <w:rFonts w:hint="eastAsia"/>
          <w:b/>
          <w:lang w:eastAsia="ja-JP"/>
        </w:rPr>
        <w:t xml:space="preserve">Presenter: </w:t>
      </w:r>
      <w:r w:rsidRPr="006D4594">
        <w:rPr>
          <w:rStyle w:val="20"/>
          <w:rFonts w:hint="eastAsia"/>
          <w:b/>
          <w:sz w:val="32"/>
          <w:szCs w:val="32"/>
          <w:lang w:eastAsia="ja-JP"/>
        </w:rPr>
        <w:t xml:space="preserve">Professor </w:t>
      </w:r>
      <w:r w:rsidRPr="006D4594">
        <w:rPr>
          <w:rStyle w:val="20"/>
          <w:b/>
          <w:sz w:val="32"/>
          <w:szCs w:val="32"/>
        </w:rPr>
        <w:t xml:space="preserve">Cees </w:t>
      </w:r>
      <w:proofErr w:type="gramStart"/>
      <w:r w:rsidRPr="006D4594">
        <w:rPr>
          <w:rStyle w:val="20"/>
          <w:b/>
          <w:sz w:val="32"/>
          <w:szCs w:val="32"/>
        </w:rPr>
        <w:t>van</w:t>
      </w:r>
      <w:r w:rsidR="00B16F04" w:rsidRPr="00B16F04">
        <w:t xml:space="preserve"> </w:t>
      </w:r>
      <w:r w:rsidRPr="006D4594">
        <w:rPr>
          <w:rStyle w:val="20"/>
          <w:b/>
          <w:sz w:val="32"/>
          <w:szCs w:val="32"/>
        </w:rPr>
        <w:t xml:space="preserve"> der</w:t>
      </w:r>
      <w:proofErr w:type="gramEnd"/>
      <w:r w:rsidRPr="006D4594">
        <w:rPr>
          <w:rStyle w:val="20"/>
          <w:b/>
          <w:sz w:val="32"/>
          <w:szCs w:val="32"/>
        </w:rPr>
        <w:t xml:space="preserve"> </w:t>
      </w:r>
      <w:proofErr w:type="spellStart"/>
      <w:r w:rsidRPr="006D4594">
        <w:rPr>
          <w:rStyle w:val="20"/>
          <w:b/>
          <w:sz w:val="32"/>
          <w:szCs w:val="32"/>
        </w:rPr>
        <w:t>Eijk</w:t>
      </w:r>
      <w:proofErr w:type="spellEnd"/>
      <w:r w:rsidRPr="006D4594">
        <w:rPr>
          <w:rStyle w:val="20"/>
          <w:b/>
          <w:sz w:val="32"/>
          <w:szCs w:val="32"/>
        </w:rPr>
        <w:t xml:space="preserve"> (University of Nottingham - UK)</w:t>
      </w:r>
    </w:p>
    <w:p w14:paraId="4D807089" w14:textId="77777777" w:rsidR="006D4594" w:rsidRPr="006D4594" w:rsidRDefault="006D4594" w:rsidP="006D4594">
      <w:pPr>
        <w:rPr>
          <w:rStyle w:val="20"/>
          <w:sz w:val="32"/>
          <w:szCs w:val="32"/>
          <w:lang w:eastAsia="ja-JP"/>
        </w:rPr>
      </w:pPr>
    </w:p>
    <w:p w14:paraId="18DD61FE" w14:textId="3EB9B779" w:rsidR="000C5F0E" w:rsidRDefault="000C5F0E" w:rsidP="000C5F0E">
      <w:r>
        <w:t>This workshop focusses on the use of so-called non-</w:t>
      </w:r>
      <w:proofErr w:type="spellStart"/>
      <w:r>
        <w:t>ipsative</w:t>
      </w:r>
      <w:proofErr w:type="spellEnd"/>
      <w:r>
        <w:t xml:space="preserve"> measures of party preference in electoral studies. Such measures exist in different forms: so-called PTVs (propensity to vote for a party) that are included in the European Election Studies (EES) and in many national election studies (Netherlands, UK, Italy, Ireland, Spain, etc.)</w:t>
      </w:r>
      <w:r w:rsidR="00F86FC6">
        <w:t>;</w:t>
      </w:r>
      <w:r>
        <w:t xml:space="preserve"> likes-dislikes for political </w:t>
      </w:r>
      <w:r w:rsidR="00E83BC4">
        <w:rPr>
          <w:rFonts w:hint="eastAsia"/>
          <w:lang w:eastAsia="ja-JP"/>
        </w:rPr>
        <w:t>p</w:t>
      </w:r>
      <w:r>
        <w:t>arties that are included in the Comparative Study of Electoral Systems (CSES)</w:t>
      </w:r>
      <w:r w:rsidR="00F86FC6">
        <w:t>;</w:t>
      </w:r>
      <w:r>
        <w:t xml:space="preserve"> and ‘feeling thermometers’ that are used in the American National Election Study (ANES) and in national election studies in several  countries. </w:t>
      </w:r>
      <w:r w:rsidR="00F86FC6">
        <w:t xml:space="preserve">They all have in common that they yield preference scores of each of the parties, and that these scores do not constrain each other (such in contrast to the common question about vote choice, or to preference-ranking questions).   </w:t>
      </w:r>
    </w:p>
    <w:p w14:paraId="68ADADE0" w14:textId="56B4D796" w:rsidR="000C5F0E" w:rsidRDefault="000C5F0E" w:rsidP="000C5F0E">
      <w:r>
        <w:t>The</w:t>
      </w:r>
      <w:r w:rsidR="00F86FC6">
        <w:t xml:space="preserve">se </w:t>
      </w:r>
      <w:r>
        <w:t>non-</w:t>
      </w:r>
      <w:proofErr w:type="spellStart"/>
      <w:r>
        <w:t>ipsative</w:t>
      </w:r>
      <w:proofErr w:type="spellEnd"/>
      <w:r>
        <w:t xml:space="preserve"> preferences </w:t>
      </w:r>
      <w:r w:rsidR="00F86FC6">
        <w:t xml:space="preserve">enrich </w:t>
      </w:r>
      <w:r>
        <w:t xml:space="preserve">electoral research </w:t>
      </w:r>
      <w:r w:rsidR="00B53377">
        <w:t>in a variety of ways</w:t>
      </w:r>
      <w:r w:rsidR="00104E38">
        <w:t xml:space="preserve">. The most important ways in which they are currently used in electoral studies are: </w:t>
      </w:r>
    </w:p>
    <w:p w14:paraId="2F6821FB" w14:textId="48907F50" w:rsidR="004D540A" w:rsidRDefault="000C5F0E" w:rsidP="004D540A">
      <w:pPr>
        <w:pStyle w:val="a3"/>
        <w:numPr>
          <w:ilvl w:val="0"/>
          <w:numId w:val="1"/>
        </w:numPr>
      </w:pPr>
      <w:r>
        <w:t xml:space="preserve">To </w:t>
      </w:r>
      <w:r w:rsidR="00104E38">
        <w:t>be used</w:t>
      </w:r>
      <w:r>
        <w:t xml:space="preserve"> as </w:t>
      </w:r>
      <w:r w:rsidRPr="00104E38">
        <w:rPr>
          <w:i/>
        </w:rPr>
        <w:t xml:space="preserve">dependent variable in explanatory analyses of </w:t>
      </w:r>
      <w:r w:rsidR="00104E38">
        <w:rPr>
          <w:i/>
        </w:rPr>
        <w:t xml:space="preserve">vote choice. </w:t>
      </w:r>
      <w:r w:rsidR="00745529">
        <w:t xml:space="preserve">This leads to so-called ‘generic’ analyses that </w:t>
      </w:r>
      <w:r w:rsidR="00104E38">
        <w:t xml:space="preserve">is particularly suitable for comparative studies across different party systems. This usage requires a restructuring of the conventional data matrix into a so-called ‘stacked’ form, and it requires explanatory (i.e., independent) variables to be represented in a specific way (as (dis)similarities for party-voter dyads), which can always be constructed in the so-called y-hat form. </w:t>
      </w:r>
    </w:p>
    <w:p w14:paraId="60293352" w14:textId="78A1AA55" w:rsidR="000C5F0E" w:rsidRDefault="000C5F0E" w:rsidP="000C5F0E">
      <w:pPr>
        <w:pStyle w:val="a3"/>
        <w:numPr>
          <w:ilvl w:val="0"/>
          <w:numId w:val="1"/>
        </w:numPr>
      </w:pPr>
      <w:r>
        <w:t xml:space="preserve">To serve as </w:t>
      </w:r>
      <w:r w:rsidRPr="00104E38">
        <w:rPr>
          <w:i/>
        </w:rPr>
        <w:t xml:space="preserve">independent variable in the </w:t>
      </w:r>
      <w:r w:rsidR="00745529" w:rsidRPr="00104E38">
        <w:rPr>
          <w:i/>
        </w:rPr>
        <w:t>analysis</w:t>
      </w:r>
      <w:r w:rsidRPr="00104E38">
        <w:rPr>
          <w:i/>
        </w:rPr>
        <w:t xml:space="preserve"> of </w:t>
      </w:r>
      <w:r w:rsidR="00745529" w:rsidRPr="00104E38">
        <w:rPr>
          <w:i/>
        </w:rPr>
        <w:t xml:space="preserve">electoral </w:t>
      </w:r>
      <w:r w:rsidRPr="00104E38">
        <w:rPr>
          <w:i/>
        </w:rPr>
        <w:t>participation</w:t>
      </w:r>
      <w:r w:rsidR="00104E38">
        <w:t>.</w:t>
      </w:r>
      <w:r>
        <w:t xml:space="preserve"> </w:t>
      </w:r>
      <w:r w:rsidR="00104E38">
        <w:t xml:space="preserve">This usage does not require a restructuring of the normal data </w:t>
      </w:r>
      <w:r w:rsidR="00D5491F">
        <w:t>matrix but</w:t>
      </w:r>
      <w:r w:rsidR="00104E38">
        <w:t xml:space="preserve"> does require the construction of new variables to be derived from a set of non-</w:t>
      </w:r>
      <w:proofErr w:type="spellStart"/>
      <w:r w:rsidR="00104E38">
        <w:t>ipsative</w:t>
      </w:r>
      <w:proofErr w:type="spellEnd"/>
      <w:r w:rsidR="00104E38">
        <w:t xml:space="preserve"> preferences. </w:t>
      </w:r>
    </w:p>
    <w:p w14:paraId="435AAD76" w14:textId="77777777" w:rsidR="00D5491F" w:rsidRDefault="00745529" w:rsidP="000C5F0E">
      <w:pPr>
        <w:pStyle w:val="a3"/>
        <w:numPr>
          <w:ilvl w:val="0"/>
          <w:numId w:val="1"/>
        </w:numPr>
      </w:pPr>
      <w:r>
        <w:t xml:space="preserve">To serve as the basis for </w:t>
      </w:r>
      <w:r w:rsidRPr="00104E38">
        <w:rPr>
          <w:i/>
        </w:rPr>
        <w:t>analyses of electoral competition between parties</w:t>
      </w:r>
      <w:r>
        <w:t xml:space="preserve"> and </w:t>
      </w:r>
      <w:r w:rsidRPr="00104E38">
        <w:rPr>
          <w:i/>
        </w:rPr>
        <w:t>counterfactual analyses of parties’ vote shares</w:t>
      </w:r>
      <w:r w:rsidR="00104E38">
        <w:t xml:space="preserve">. </w:t>
      </w:r>
      <w:r w:rsidR="00D5491F">
        <w:t>This kind of analyses</w:t>
      </w:r>
      <w:r w:rsidR="00104E38">
        <w:t xml:space="preserve"> </w:t>
      </w:r>
      <w:r w:rsidR="00D5491F">
        <w:t xml:space="preserve">does not </w:t>
      </w:r>
      <w:r w:rsidR="00104E38">
        <w:t xml:space="preserve">focus </w:t>
      </w:r>
      <w:r w:rsidR="00D5491F">
        <w:t>on the behaviour of individuals (their electoral participation or their party choice), but instead on describing the potential electorate of political parties and the overlaps between these potentials (which represent electoral competition between parties). In combination with the first mentioned usage (explanatory analyses of vote choice) this kind of analyses can be used for assessing the electoral consequences of relevant counterfactuals (e.g., ‘how would parties’ vote shares be different if the economy would have been better, or if a party leader would have been less popular, etc.).</w:t>
      </w:r>
    </w:p>
    <w:p w14:paraId="2693F6CD" w14:textId="77777777" w:rsidR="00AF441C" w:rsidRDefault="00AF441C" w:rsidP="00D5491F">
      <w:pPr>
        <w:rPr>
          <w:lang w:eastAsia="ja-JP"/>
        </w:rPr>
      </w:pPr>
    </w:p>
    <w:p w14:paraId="156FD929" w14:textId="77777777" w:rsidR="00AF441C" w:rsidRDefault="00AF441C" w:rsidP="00D5491F">
      <w:pPr>
        <w:rPr>
          <w:lang w:eastAsia="ja-JP"/>
        </w:rPr>
      </w:pPr>
    </w:p>
    <w:p w14:paraId="0FD57B7A" w14:textId="77777777" w:rsidR="00AF441C" w:rsidRDefault="00AF441C" w:rsidP="00D5491F">
      <w:pPr>
        <w:rPr>
          <w:lang w:eastAsia="ja-JP"/>
        </w:rPr>
      </w:pPr>
    </w:p>
    <w:p w14:paraId="524D4991" w14:textId="71ED2D05" w:rsidR="00745529" w:rsidRDefault="00D5491F" w:rsidP="00D5491F">
      <w:r>
        <w:t>This workshop will discuss all three forms of use of non-</w:t>
      </w:r>
      <w:proofErr w:type="spellStart"/>
      <w:r>
        <w:t>ipsative</w:t>
      </w:r>
      <w:proofErr w:type="spellEnd"/>
      <w:r>
        <w:t xml:space="preserve"> preferences; however, most attention will be paid to the first and to the third kind of use, as these are most demanding in terms of their intellectual bases and in terms of data manage</w:t>
      </w:r>
      <w:r w:rsidR="007C3C21">
        <w:t>m</w:t>
      </w:r>
      <w:r>
        <w:t xml:space="preserve">ent and analysis. </w:t>
      </w:r>
    </w:p>
    <w:p w14:paraId="7E670E38" w14:textId="439BAFEE" w:rsidR="007C3C21" w:rsidRDefault="007C3C21" w:rsidP="00D5491F">
      <w:r>
        <w:t>The workshop consists of a mixture of presentations and hands-on practical work. For the latter data from the EES will be used as demonstration material. The practical demonstration and exercises will be conducted in STATA, but assistance can be given for those who do not use STATA but SPSS instead. Each of the two parts of the workshop (respectively presentation and explanation of the use of non-</w:t>
      </w:r>
      <w:proofErr w:type="spellStart"/>
      <w:r>
        <w:t>ipsative</w:t>
      </w:r>
      <w:proofErr w:type="spellEnd"/>
      <w:r>
        <w:t xml:space="preserve"> preferences, and practical demonstration/hands-on exercises) will last approximately 2 hours. </w:t>
      </w:r>
    </w:p>
    <w:p w14:paraId="7EE2D822" w14:textId="32E506F6" w:rsidR="007C3C21" w:rsidRPr="001C274C" w:rsidRDefault="007C3C21" w:rsidP="00D5491F"/>
    <w:p w14:paraId="1748E5CF" w14:textId="1575CA56" w:rsidR="00D15C53" w:rsidRPr="003D216A" w:rsidRDefault="00D15C53" w:rsidP="00D15C53">
      <w:pPr>
        <w:pStyle w:val="2"/>
        <w:rPr>
          <w:b/>
          <w:lang w:eastAsia="ja-JP"/>
        </w:rPr>
      </w:pPr>
      <w:r w:rsidRPr="003D216A">
        <w:rPr>
          <w:b/>
        </w:rPr>
        <w:t>Programme</w:t>
      </w:r>
    </w:p>
    <w:p w14:paraId="6D06F39C" w14:textId="27312F54" w:rsidR="00D15C53" w:rsidRPr="006D4594" w:rsidRDefault="006D4594" w:rsidP="006D4594">
      <w:pPr>
        <w:rPr>
          <w:b/>
          <w:sz w:val="28"/>
          <w:lang w:eastAsia="ja-JP"/>
        </w:rPr>
      </w:pPr>
      <w:r w:rsidRPr="006D4594">
        <w:rPr>
          <w:rFonts w:hint="eastAsia"/>
          <w:b/>
          <w:sz w:val="24"/>
          <w:shd w:val="pct15" w:color="auto" w:fill="FFFFFF"/>
          <w:lang w:eastAsia="ja-JP"/>
        </w:rPr>
        <w:t>14:</w:t>
      </w:r>
      <w:r w:rsidR="00E83BC4">
        <w:rPr>
          <w:rFonts w:hint="eastAsia"/>
          <w:b/>
          <w:sz w:val="24"/>
          <w:shd w:val="pct15" w:color="auto" w:fill="FFFFFF"/>
          <w:lang w:eastAsia="ja-JP"/>
        </w:rPr>
        <w:t>00</w:t>
      </w:r>
      <w:r w:rsidRPr="006D4594">
        <w:rPr>
          <w:rFonts w:hint="eastAsia"/>
          <w:b/>
          <w:sz w:val="24"/>
          <w:shd w:val="pct15" w:color="auto" w:fill="FFFFFF"/>
          <w:lang w:eastAsia="ja-JP"/>
        </w:rPr>
        <w:t>-16:</w:t>
      </w:r>
      <w:r w:rsidR="00E83BC4">
        <w:rPr>
          <w:rFonts w:hint="eastAsia"/>
          <w:b/>
          <w:sz w:val="24"/>
          <w:shd w:val="pct15" w:color="auto" w:fill="FFFFFF"/>
          <w:lang w:eastAsia="ja-JP"/>
        </w:rPr>
        <w:t>00</w:t>
      </w:r>
      <w:r w:rsidRPr="006D4594">
        <w:rPr>
          <w:rFonts w:hint="eastAsia"/>
          <w:b/>
          <w:sz w:val="24"/>
          <w:lang w:eastAsia="ja-JP"/>
        </w:rPr>
        <w:t xml:space="preserve"> </w:t>
      </w:r>
      <w:r w:rsidR="00D15C53" w:rsidRPr="006D4594">
        <w:rPr>
          <w:b/>
          <w:sz w:val="24"/>
        </w:rPr>
        <w:t xml:space="preserve">Session 1 </w:t>
      </w:r>
      <w:r w:rsidR="00F43D5D" w:rsidRPr="006D4594">
        <w:rPr>
          <w:b/>
          <w:sz w:val="24"/>
        </w:rPr>
        <w:t>(Presentation in seminar form)</w:t>
      </w:r>
    </w:p>
    <w:p w14:paraId="67B8E684" w14:textId="77777777" w:rsidR="006D4594" w:rsidRDefault="006D4594" w:rsidP="006D4594">
      <w:pPr>
        <w:pStyle w:val="a3"/>
        <w:numPr>
          <w:ilvl w:val="0"/>
          <w:numId w:val="3"/>
        </w:numPr>
      </w:pPr>
      <w:r>
        <w:t>Intellectual background of non-</w:t>
      </w:r>
      <w:proofErr w:type="spellStart"/>
      <w:r>
        <w:t>ipsative</w:t>
      </w:r>
      <w:proofErr w:type="spellEnd"/>
      <w:r>
        <w:t xml:space="preserve"> preferences </w:t>
      </w:r>
    </w:p>
    <w:p w14:paraId="3B7046DF" w14:textId="77777777" w:rsidR="006D4594" w:rsidRDefault="006D4594" w:rsidP="006D4594">
      <w:pPr>
        <w:pStyle w:val="a3"/>
        <w:numPr>
          <w:ilvl w:val="0"/>
          <w:numId w:val="3"/>
        </w:numPr>
      </w:pPr>
      <w:r>
        <w:t xml:space="preserve">Existing measures, their validity and measurement properties </w:t>
      </w:r>
    </w:p>
    <w:p w14:paraId="5D5BA896" w14:textId="77777777" w:rsidR="006D4594" w:rsidRDefault="006D4594" w:rsidP="006D4594">
      <w:pPr>
        <w:pStyle w:val="a3"/>
        <w:numPr>
          <w:ilvl w:val="0"/>
          <w:numId w:val="3"/>
        </w:numPr>
      </w:pPr>
      <w:r>
        <w:t>Measures derived from non-</w:t>
      </w:r>
      <w:proofErr w:type="spellStart"/>
      <w:r>
        <w:t>ipsative</w:t>
      </w:r>
      <w:proofErr w:type="spellEnd"/>
      <w:r>
        <w:t xml:space="preserve"> preferences</w:t>
      </w:r>
    </w:p>
    <w:p w14:paraId="205F5896" w14:textId="77777777" w:rsidR="006D4594" w:rsidRDefault="006D4594" w:rsidP="006D4594">
      <w:pPr>
        <w:pStyle w:val="a3"/>
        <w:numPr>
          <w:ilvl w:val="0"/>
          <w:numId w:val="3"/>
        </w:numPr>
      </w:pPr>
      <w:r>
        <w:t>Application 1: non-</w:t>
      </w:r>
      <w:proofErr w:type="spellStart"/>
      <w:r>
        <w:t>ipsative</w:t>
      </w:r>
      <w:proofErr w:type="spellEnd"/>
      <w:r>
        <w:t xml:space="preserve"> preferences as dependent variable; explanation of strategy of analysis, with examples from the European Election Study</w:t>
      </w:r>
    </w:p>
    <w:p w14:paraId="04D64105" w14:textId="77777777" w:rsidR="006D4594" w:rsidRDefault="006D4594" w:rsidP="006D4594">
      <w:pPr>
        <w:pStyle w:val="a3"/>
        <w:numPr>
          <w:ilvl w:val="0"/>
          <w:numId w:val="3"/>
        </w:numPr>
      </w:pPr>
      <w:r>
        <w:t>Application 2: non-</w:t>
      </w:r>
      <w:proofErr w:type="spellStart"/>
      <w:r>
        <w:t>ipsative</w:t>
      </w:r>
      <w:proofErr w:type="spellEnd"/>
      <w:r>
        <w:t xml:space="preserve"> preferences in the description and analysis of party competition; examples from the Netherlands, the UK and Ireland</w:t>
      </w:r>
    </w:p>
    <w:p w14:paraId="2A891E15" w14:textId="77777777" w:rsidR="006D4594" w:rsidRDefault="006D4594" w:rsidP="006D4594">
      <w:pPr>
        <w:pStyle w:val="a3"/>
        <w:numPr>
          <w:ilvl w:val="0"/>
          <w:numId w:val="3"/>
        </w:numPr>
      </w:pPr>
      <w:r>
        <w:t xml:space="preserve">Q and </w:t>
      </w:r>
      <w:r>
        <w:rPr>
          <w:rFonts w:hint="eastAsia"/>
          <w:lang w:eastAsia="ja-JP"/>
        </w:rPr>
        <w:t>A</w:t>
      </w:r>
    </w:p>
    <w:p w14:paraId="6253ABFD" w14:textId="77777777" w:rsidR="006D4594" w:rsidRDefault="006D4594" w:rsidP="006D4594">
      <w:pPr>
        <w:pStyle w:val="a3"/>
        <w:ind w:left="1440"/>
      </w:pPr>
    </w:p>
    <w:p w14:paraId="3EF9F269" w14:textId="4F8D9309" w:rsidR="006D4594" w:rsidRPr="001C274C" w:rsidRDefault="006D4594" w:rsidP="006D4594">
      <w:pPr>
        <w:rPr>
          <w:sz w:val="24"/>
          <w:shd w:val="pct15" w:color="auto" w:fill="FFFFFF"/>
          <w:lang w:eastAsia="ja-JP"/>
        </w:rPr>
      </w:pPr>
      <w:r w:rsidRPr="001C274C">
        <w:rPr>
          <w:rFonts w:hint="eastAsia"/>
          <w:sz w:val="24"/>
          <w:shd w:val="pct15" w:color="auto" w:fill="FFFFFF"/>
          <w:lang w:eastAsia="ja-JP"/>
        </w:rPr>
        <w:t>16:</w:t>
      </w:r>
      <w:r w:rsidR="00E83BC4">
        <w:rPr>
          <w:rFonts w:hint="eastAsia"/>
          <w:sz w:val="24"/>
          <w:shd w:val="pct15" w:color="auto" w:fill="FFFFFF"/>
          <w:lang w:eastAsia="ja-JP"/>
        </w:rPr>
        <w:t>00</w:t>
      </w:r>
      <w:r w:rsidRPr="001C274C">
        <w:rPr>
          <w:rFonts w:hint="eastAsia"/>
          <w:sz w:val="24"/>
          <w:shd w:val="pct15" w:color="auto" w:fill="FFFFFF"/>
          <w:lang w:eastAsia="ja-JP"/>
        </w:rPr>
        <w:t>-16:30</w:t>
      </w:r>
      <w:r w:rsidRPr="001C274C">
        <w:rPr>
          <w:rFonts w:hint="eastAsia"/>
          <w:sz w:val="24"/>
          <w:lang w:eastAsia="ja-JP"/>
        </w:rPr>
        <w:t xml:space="preserve"> </w:t>
      </w:r>
      <w:r w:rsidR="001C274C" w:rsidRPr="001C274C">
        <w:rPr>
          <w:rFonts w:hint="eastAsia"/>
          <w:sz w:val="24"/>
          <w:lang w:eastAsia="ja-JP"/>
        </w:rPr>
        <w:t>Coffee</w:t>
      </w:r>
      <w:r w:rsidR="005010A7">
        <w:rPr>
          <w:rFonts w:hint="eastAsia"/>
          <w:sz w:val="24"/>
          <w:lang w:eastAsia="ja-JP"/>
        </w:rPr>
        <w:t xml:space="preserve"> </w:t>
      </w:r>
      <w:r w:rsidR="001C274C" w:rsidRPr="001C274C">
        <w:rPr>
          <w:rFonts w:hint="eastAsia"/>
          <w:sz w:val="24"/>
          <w:lang w:eastAsia="ja-JP"/>
        </w:rPr>
        <w:t>break</w:t>
      </w:r>
      <w:r w:rsidRPr="001C274C">
        <w:rPr>
          <w:rFonts w:hint="eastAsia"/>
          <w:sz w:val="24"/>
          <w:shd w:val="pct15" w:color="auto" w:fill="FFFFFF"/>
          <w:lang w:eastAsia="ja-JP"/>
        </w:rPr>
        <w:t xml:space="preserve">  </w:t>
      </w:r>
    </w:p>
    <w:p w14:paraId="4A27CDF0" w14:textId="5BC103DB" w:rsidR="006D4594" w:rsidRDefault="006D4594" w:rsidP="006D4594">
      <w:pPr>
        <w:rPr>
          <w:b/>
          <w:sz w:val="24"/>
          <w:lang w:eastAsia="ja-JP"/>
        </w:rPr>
      </w:pPr>
      <w:r w:rsidRPr="006D4594">
        <w:rPr>
          <w:rFonts w:hint="eastAsia"/>
          <w:b/>
          <w:sz w:val="24"/>
          <w:shd w:val="pct15" w:color="auto" w:fill="FFFFFF"/>
          <w:lang w:eastAsia="ja-JP"/>
        </w:rPr>
        <w:t>16:30-18:</w:t>
      </w:r>
      <w:r w:rsidR="00E83BC4">
        <w:rPr>
          <w:rFonts w:hint="eastAsia"/>
          <w:b/>
          <w:sz w:val="24"/>
          <w:shd w:val="pct15" w:color="auto" w:fill="FFFFFF"/>
          <w:lang w:eastAsia="ja-JP"/>
        </w:rPr>
        <w:t>3</w:t>
      </w:r>
      <w:r w:rsidRPr="006D4594">
        <w:rPr>
          <w:rFonts w:hint="eastAsia"/>
          <w:b/>
          <w:sz w:val="24"/>
          <w:shd w:val="pct15" w:color="auto" w:fill="FFFFFF"/>
          <w:lang w:eastAsia="ja-JP"/>
        </w:rPr>
        <w:t>0</w:t>
      </w:r>
      <w:r w:rsidRPr="006D4594">
        <w:rPr>
          <w:rFonts w:hint="eastAsia"/>
          <w:b/>
          <w:sz w:val="24"/>
          <w:lang w:eastAsia="ja-JP"/>
        </w:rPr>
        <w:t xml:space="preserve"> </w:t>
      </w:r>
      <w:r w:rsidRPr="006D4594">
        <w:rPr>
          <w:b/>
          <w:sz w:val="24"/>
        </w:rPr>
        <w:t>Session 2 (Presentation with hands-on exercises in STATA)</w:t>
      </w:r>
    </w:p>
    <w:p w14:paraId="66FE0422" w14:textId="5C05AAC7" w:rsidR="001C274C" w:rsidRPr="001C274C" w:rsidRDefault="001C274C" w:rsidP="006D4594">
      <w:pPr>
        <w:rPr>
          <w:lang w:eastAsia="ja-JP"/>
        </w:rPr>
      </w:pPr>
      <w:r>
        <w:rPr>
          <w:rFonts w:hint="eastAsia"/>
          <w:lang w:eastAsia="ja-JP"/>
        </w:rPr>
        <w:tab/>
        <w:t xml:space="preserve">       </w:t>
      </w:r>
      <w:r w:rsidRPr="001C274C">
        <w:rPr>
          <w:rFonts w:hint="eastAsia"/>
          <w:lang w:eastAsia="ja-JP"/>
        </w:rPr>
        <w:t>*   Note: Please bring your own laptop with Stata installed (if you have one)</w:t>
      </w:r>
    </w:p>
    <w:p w14:paraId="35B495BB" w14:textId="63CC3A0F" w:rsidR="0049343E" w:rsidRDefault="00F43D5D" w:rsidP="00F43D5D">
      <w:pPr>
        <w:pStyle w:val="a3"/>
        <w:numPr>
          <w:ilvl w:val="0"/>
          <w:numId w:val="4"/>
        </w:numPr>
      </w:pPr>
      <w:r>
        <w:t>Introduction into the dataset (European Election Study 2014)</w:t>
      </w:r>
    </w:p>
    <w:p w14:paraId="2CDC3F98" w14:textId="528FB9F2" w:rsidR="00F43D5D" w:rsidRDefault="00F43D5D" w:rsidP="00F43D5D">
      <w:pPr>
        <w:pStyle w:val="a3"/>
        <w:numPr>
          <w:ilvl w:val="0"/>
          <w:numId w:val="4"/>
        </w:numPr>
      </w:pPr>
      <w:r>
        <w:t xml:space="preserve">Construction of derived variables </w:t>
      </w:r>
    </w:p>
    <w:p w14:paraId="6EDD4783" w14:textId="332F85EE" w:rsidR="00F43D5D" w:rsidRDefault="00F43D5D" w:rsidP="00F43D5D">
      <w:pPr>
        <w:pStyle w:val="a3"/>
        <w:numPr>
          <w:ilvl w:val="0"/>
          <w:numId w:val="4"/>
        </w:numPr>
      </w:pPr>
      <w:r>
        <w:t>Analysis of PTVs as dependent variable</w:t>
      </w:r>
      <w:r w:rsidR="00D67B50">
        <w:t xml:space="preserve"> (including stacking and y-hats)</w:t>
      </w:r>
    </w:p>
    <w:p w14:paraId="6DBA8AD5" w14:textId="54C449B3" w:rsidR="00F43D5D" w:rsidRDefault="00F43D5D" w:rsidP="00F43D5D">
      <w:pPr>
        <w:pStyle w:val="a3"/>
        <w:numPr>
          <w:ilvl w:val="0"/>
          <w:numId w:val="4"/>
        </w:numPr>
      </w:pPr>
      <w:r>
        <w:t>Analysis of party competition based on PTVs</w:t>
      </w:r>
    </w:p>
    <w:p w14:paraId="699BD672" w14:textId="77777777" w:rsidR="001C274C" w:rsidRDefault="00D67B50" w:rsidP="001C274C">
      <w:pPr>
        <w:pStyle w:val="a3"/>
        <w:numPr>
          <w:ilvl w:val="0"/>
          <w:numId w:val="4"/>
        </w:numPr>
      </w:pPr>
      <w:r>
        <w:t>Q and A</w:t>
      </w:r>
    </w:p>
    <w:p w14:paraId="555B7BA8" w14:textId="6075873B" w:rsidR="00D15C53" w:rsidRDefault="001C274C" w:rsidP="001C274C">
      <w:pPr>
        <w:pStyle w:val="a3"/>
        <w:ind w:left="0"/>
      </w:pPr>
      <w:r>
        <w:rPr>
          <w:rFonts w:hint="eastAsia"/>
          <w:lang w:eastAsia="ja-JP"/>
        </w:rPr>
        <w:tab/>
        <w:t xml:space="preserve">       </w:t>
      </w:r>
    </w:p>
    <w:p w14:paraId="6337198E" w14:textId="35870233" w:rsidR="007C3C21" w:rsidRDefault="007C3C21" w:rsidP="00D05363">
      <w:pPr>
        <w:pStyle w:val="2"/>
      </w:pPr>
      <w:r>
        <w:t>Recommended preparatory reading:</w:t>
      </w:r>
    </w:p>
    <w:p w14:paraId="621F09A1" w14:textId="6B01D3FA" w:rsidR="007C3C21" w:rsidRDefault="007C3C21" w:rsidP="007C3C21">
      <w:pPr>
        <w:spacing w:line="240" w:lineRule="auto"/>
        <w:rPr>
          <w:sz w:val="23"/>
          <w:szCs w:val="23"/>
        </w:rPr>
      </w:pPr>
      <w:r w:rsidRPr="007C3C21">
        <w:rPr>
          <w:sz w:val="23"/>
          <w:szCs w:val="23"/>
          <w:lang w:val="nl-NL"/>
        </w:rPr>
        <w:t xml:space="preserve">Eijk, C. van der, Brug, W. van der, Kroh, M., Franklin, M. (2006). </w:t>
      </w:r>
      <w:r>
        <w:rPr>
          <w:sz w:val="23"/>
          <w:szCs w:val="23"/>
        </w:rPr>
        <w:t xml:space="preserve">Rethinking the dependent variable in voting </w:t>
      </w:r>
      <w:proofErr w:type="spellStart"/>
      <w:r>
        <w:rPr>
          <w:sz w:val="23"/>
          <w:szCs w:val="23"/>
        </w:rPr>
        <w:t>behavior</w:t>
      </w:r>
      <w:proofErr w:type="spellEnd"/>
      <w:r>
        <w:rPr>
          <w:sz w:val="23"/>
          <w:szCs w:val="23"/>
        </w:rPr>
        <w:t xml:space="preserve">: On the measurement and analysis of electoral utilities. </w:t>
      </w:r>
      <w:r w:rsidRPr="007C3C21">
        <w:rPr>
          <w:i/>
          <w:sz w:val="23"/>
          <w:szCs w:val="23"/>
        </w:rPr>
        <w:t>Electoral Studies</w:t>
      </w:r>
      <w:r>
        <w:rPr>
          <w:sz w:val="23"/>
          <w:szCs w:val="23"/>
        </w:rPr>
        <w:t xml:space="preserve">, 25(3): 424-447. </w:t>
      </w:r>
      <w:r w:rsidRPr="00D749CD">
        <w:rPr>
          <w:sz w:val="20"/>
          <w:szCs w:val="20"/>
        </w:rPr>
        <w:t>[</w:t>
      </w:r>
      <w:proofErr w:type="gramStart"/>
      <w:r w:rsidRPr="00D749CD">
        <w:rPr>
          <w:sz w:val="20"/>
          <w:szCs w:val="20"/>
        </w:rPr>
        <w:t>this</w:t>
      </w:r>
      <w:proofErr w:type="gramEnd"/>
      <w:r w:rsidRPr="00D749CD">
        <w:rPr>
          <w:sz w:val="20"/>
          <w:szCs w:val="20"/>
        </w:rPr>
        <w:t xml:space="preserve"> article provides a wide-ranging overview of usages of non-</w:t>
      </w:r>
      <w:proofErr w:type="spellStart"/>
      <w:r w:rsidRPr="00D749CD">
        <w:rPr>
          <w:sz w:val="20"/>
          <w:szCs w:val="20"/>
        </w:rPr>
        <w:t>ipsative</w:t>
      </w:r>
      <w:proofErr w:type="spellEnd"/>
      <w:r w:rsidRPr="00D749CD">
        <w:rPr>
          <w:sz w:val="20"/>
          <w:szCs w:val="20"/>
        </w:rPr>
        <w:t xml:space="preserve"> preferences, in particular PTVs]</w:t>
      </w:r>
    </w:p>
    <w:p w14:paraId="2DA874ED" w14:textId="437F87B6" w:rsidR="00D749CD" w:rsidRPr="001C274C" w:rsidRDefault="007C3C21" w:rsidP="001C274C">
      <w:pPr>
        <w:spacing w:line="240" w:lineRule="auto"/>
        <w:rPr>
          <w:sz w:val="23"/>
          <w:szCs w:val="23"/>
          <w:lang w:eastAsia="ja-JP"/>
        </w:rPr>
      </w:pPr>
      <w:proofErr w:type="spellStart"/>
      <w:proofErr w:type="gramStart"/>
      <w:r>
        <w:rPr>
          <w:sz w:val="23"/>
          <w:szCs w:val="23"/>
        </w:rPr>
        <w:t>Eijk</w:t>
      </w:r>
      <w:proofErr w:type="spellEnd"/>
      <w:r>
        <w:rPr>
          <w:sz w:val="23"/>
          <w:szCs w:val="23"/>
        </w:rPr>
        <w:t>, C. van der 2018.</w:t>
      </w:r>
      <w:proofErr w:type="gramEnd"/>
      <w:r>
        <w:rPr>
          <w:sz w:val="23"/>
          <w:szCs w:val="23"/>
        </w:rPr>
        <w:t xml:space="preserve"> Selecting the Dependent variable in Electoral Studies: Choice or Preference? In: J. Fisher, E. Fieldhouse, M.N. Franklin, R. Gibson, M. </w:t>
      </w:r>
      <w:proofErr w:type="spellStart"/>
      <w:r>
        <w:rPr>
          <w:sz w:val="23"/>
          <w:szCs w:val="23"/>
        </w:rPr>
        <w:t>Cantijoch</w:t>
      </w:r>
      <w:proofErr w:type="spellEnd"/>
      <w:r>
        <w:rPr>
          <w:sz w:val="23"/>
          <w:szCs w:val="23"/>
        </w:rPr>
        <w:t xml:space="preserve"> &amp; C. </w:t>
      </w:r>
      <w:proofErr w:type="spellStart"/>
      <w:r>
        <w:rPr>
          <w:sz w:val="23"/>
          <w:szCs w:val="23"/>
        </w:rPr>
        <w:t>Wlezien</w:t>
      </w:r>
      <w:proofErr w:type="spellEnd"/>
      <w:r>
        <w:rPr>
          <w:sz w:val="23"/>
          <w:szCs w:val="23"/>
        </w:rPr>
        <w:t xml:space="preserve"> (eds.) </w:t>
      </w:r>
      <w:r w:rsidRPr="007C3C21">
        <w:rPr>
          <w:i/>
          <w:sz w:val="23"/>
          <w:szCs w:val="23"/>
        </w:rPr>
        <w:t>The Routledge Handbook of Elections, Voting behaviour and Public Opinion</w:t>
      </w:r>
      <w:r>
        <w:rPr>
          <w:sz w:val="23"/>
          <w:szCs w:val="23"/>
        </w:rPr>
        <w:t>. London: Routledge: 445-57.</w:t>
      </w:r>
      <w:r>
        <w:rPr>
          <w:sz w:val="23"/>
          <w:szCs w:val="23"/>
        </w:rPr>
        <w:br/>
      </w:r>
      <w:r w:rsidRPr="00D749CD">
        <w:rPr>
          <w:sz w:val="20"/>
          <w:szCs w:val="20"/>
        </w:rPr>
        <w:t xml:space="preserve">[this chapter can be best read after the previously mentioned article; it covers to some extent the same topics, but focusses more extensively on the question whether/when to use vote choice as dependent variable, and when </w:t>
      </w:r>
      <w:r w:rsidR="00D749CD" w:rsidRPr="00D749CD">
        <w:rPr>
          <w:sz w:val="20"/>
          <w:szCs w:val="20"/>
        </w:rPr>
        <w:t>non-</w:t>
      </w:r>
      <w:proofErr w:type="spellStart"/>
      <w:r w:rsidR="00D749CD" w:rsidRPr="00D749CD">
        <w:rPr>
          <w:sz w:val="20"/>
          <w:szCs w:val="20"/>
        </w:rPr>
        <w:t>ipsative</w:t>
      </w:r>
      <w:proofErr w:type="spellEnd"/>
      <w:r w:rsidR="00D749CD" w:rsidRPr="00D749CD">
        <w:rPr>
          <w:sz w:val="20"/>
          <w:szCs w:val="20"/>
        </w:rPr>
        <w:t xml:space="preserve"> preferences]</w:t>
      </w:r>
      <w:r>
        <w:rPr>
          <w:sz w:val="23"/>
          <w:szCs w:val="23"/>
        </w:rPr>
        <w:t xml:space="preserve"> </w:t>
      </w:r>
    </w:p>
    <w:p w14:paraId="4FD88DB7" w14:textId="4131DA2C" w:rsidR="00745529" w:rsidRPr="00F43D5D" w:rsidRDefault="00D749CD" w:rsidP="00F43D5D">
      <w:pPr>
        <w:spacing w:line="240" w:lineRule="auto"/>
        <w:rPr>
          <w:sz w:val="20"/>
          <w:szCs w:val="20"/>
        </w:rPr>
      </w:pPr>
      <w:proofErr w:type="spellStart"/>
      <w:proofErr w:type="gramStart"/>
      <w:r w:rsidRPr="00D15C53">
        <w:rPr>
          <w:sz w:val="23"/>
          <w:szCs w:val="23"/>
        </w:rPr>
        <w:t>Eijk</w:t>
      </w:r>
      <w:proofErr w:type="spellEnd"/>
      <w:r w:rsidRPr="00D15C53">
        <w:rPr>
          <w:sz w:val="23"/>
          <w:szCs w:val="23"/>
        </w:rPr>
        <w:t xml:space="preserve">, C. van der and </w:t>
      </w:r>
      <w:proofErr w:type="spellStart"/>
      <w:r w:rsidRPr="00D15C53">
        <w:rPr>
          <w:sz w:val="23"/>
          <w:szCs w:val="23"/>
        </w:rPr>
        <w:t>Elkink</w:t>
      </w:r>
      <w:proofErr w:type="spellEnd"/>
      <w:r w:rsidRPr="00D15C53">
        <w:rPr>
          <w:sz w:val="23"/>
          <w:szCs w:val="23"/>
        </w:rPr>
        <w:t xml:space="preserve">, J. A. (2017) “How Generational Replacement Undermined the Electoral Resilience of </w:t>
      </w:r>
      <w:proofErr w:type="spellStart"/>
      <w:r w:rsidRPr="00D15C53">
        <w:rPr>
          <w:sz w:val="23"/>
          <w:szCs w:val="23"/>
        </w:rPr>
        <w:t>Fianna</w:t>
      </w:r>
      <w:proofErr w:type="spellEnd"/>
      <w:r w:rsidRPr="00D15C53">
        <w:rPr>
          <w:sz w:val="23"/>
          <w:szCs w:val="23"/>
        </w:rPr>
        <w:t xml:space="preserve"> </w:t>
      </w:r>
      <w:proofErr w:type="spellStart"/>
      <w:r w:rsidRPr="00D15C53">
        <w:rPr>
          <w:sz w:val="23"/>
          <w:szCs w:val="23"/>
        </w:rPr>
        <w:t>Fáil</w:t>
      </w:r>
      <w:proofErr w:type="spellEnd"/>
      <w:r w:rsidRPr="00D15C53">
        <w:rPr>
          <w:sz w:val="23"/>
          <w:szCs w:val="23"/>
        </w:rPr>
        <w:t xml:space="preserve">,” in Marsh, M., Farrell, D. M. and McElroy, G. (eds.) </w:t>
      </w:r>
      <w:r w:rsidRPr="00D15C53">
        <w:rPr>
          <w:i/>
          <w:sz w:val="23"/>
          <w:szCs w:val="23"/>
        </w:rPr>
        <w:t>A Conservative Revolution?</w:t>
      </w:r>
      <w:proofErr w:type="gramEnd"/>
      <w:r w:rsidRPr="00D15C53">
        <w:rPr>
          <w:i/>
          <w:sz w:val="23"/>
          <w:szCs w:val="23"/>
        </w:rPr>
        <w:t xml:space="preserve"> Electoral Change in 21st Century Ireland</w:t>
      </w:r>
      <w:r w:rsidRPr="00D15C53">
        <w:rPr>
          <w:sz w:val="23"/>
          <w:szCs w:val="23"/>
        </w:rPr>
        <w:t>, Oxford: Oxford University Press: 102–122.</w:t>
      </w:r>
      <w:r w:rsidRPr="00D15C53">
        <w:rPr>
          <w:sz w:val="23"/>
          <w:szCs w:val="23"/>
        </w:rPr>
        <w:br/>
      </w:r>
      <w:r w:rsidRPr="00D749CD">
        <w:rPr>
          <w:sz w:val="20"/>
          <w:szCs w:val="20"/>
        </w:rPr>
        <w:t>[this chapter focuses on the use of non-</w:t>
      </w:r>
      <w:proofErr w:type="spellStart"/>
      <w:r w:rsidRPr="00D749CD">
        <w:rPr>
          <w:sz w:val="20"/>
          <w:szCs w:val="20"/>
        </w:rPr>
        <w:t>ipsative</w:t>
      </w:r>
      <w:proofErr w:type="spellEnd"/>
      <w:r w:rsidRPr="00D749CD">
        <w:rPr>
          <w:sz w:val="20"/>
          <w:szCs w:val="20"/>
        </w:rPr>
        <w:t xml:space="preserve"> preferences in the analysis of electoral competition, and more in particular,</w:t>
      </w:r>
      <w:r>
        <w:rPr>
          <w:sz w:val="20"/>
          <w:szCs w:val="20"/>
        </w:rPr>
        <w:t xml:space="preserve"> o</w:t>
      </w:r>
      <w:r w:rsidRPr="00D749CD">
        <w:rPr>
          <w:sz w:val="20"/>
          <w:szCs w:val="20"/>
        </w:rPr>
        <w:t>n changing patterns of electoral competition over time].</w:t>
      </w:r>
    </w:p>
    <w:sectPr w:rsidR="00745529" w:rsidRPr="00F43D5D" w:rsidSect="00B16F04">
      <w:pgSz w:w="11906" w:h="16838" w:code="9"/>
      <w:pgMar w:top="567"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B57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B5722" w16cid:durableId="1F2EA1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5BCCD" w14:textId="77777777" w:rsidR="009B06EA" w:rsidRDefault="009B06EA" w:rsidP="00D05363">
      <w:pPr>
        <w:spacing w:after="0" w:line="240" w:lineRule="auto"/>
      </w:pPr>
      <w:r>
        <w:separator/>
      </w:r>
    </w:p>
  </w:endnote>
  <w:endnote w:type="continuationSeparator" w:id="0">
    <w:p w14:paraId="179CF1FB" w14:textId="77777777" w:rsidR="009B06EA" w:rsidRDefault="009B06EA" w:rsidP="00D0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altName w:val="ＭＳ ゴシック"/>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游ゴシック Light">
    <w:altName w:val="ＭＳ ゴシック"/>
    <w:charset w:val="80"/>
    <w:family w:val="modern"/>
    <w:pitch w:val="variable"/>
    <w:sig w:usb0="00000000" w:usb1="2AC7FDFF" w:usb2="00000016" w:usb3="00000000" w:csb0="0002009F" w:csb1="00000000"/>
  </w:font>
  <w:font w:name="Bembo">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0E30B" w14:textId="77777777" w:rsidR="009B06EA" w:rsidRDefault="009B06EA" w:rsidP="00D05363">
      <w:pPr>
        <w:spacing w:after="0" w:line="240" w:lineRule="auto"/>
      </w:pPr>
      <w:r>
        <w:separator/>
      </w:r>
    </w:p>
  </w:footnote>
  <w:footnote w:type="continuationSeparator" w:id="0">
    <w:p w14:paraId="47355F9B" w14:textId="77777777" w:rsidR="009B06EA" w:rsidRDefault="009B06EA" w:rsidP="00D05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276"/>
    <w:multiLevelType w:val="hybridMultilevel"/>
    <w:tmpl w:val="C472F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2665F7A"/>
    <w:multiLevelType w:val="hybridMultilevel"/>
    <w:tmpl w:val="1A6AD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C15338"/>
    <w:multiLevelType w:val="hybridMultilevel"/>
    <w:tmpl w:val="B950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9226EE"/>
    <w:multiLevelType w:val="hybridMultilevel"/>
    <w:tmpl w:val="54A6C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68668AD"/>
    <w:multiLevelType w:val="hybridMultilevel"/>
    <w:tmpl w:val="23A6D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es van der Eijk">
    <w15:presenceInfo w15:providerId="Windows Live" w15:userId="25bcde56d5821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0E"/>
    <w:rsid w:val="00026FB3"/>
    <w:rsid w:val="000311CD"/>
    <w:rsid w:val="000C5F0E"/>
    <w:rsid w:val="00104E38"/>
    <w:rsid w:val="0014627E"/>
    <w:rsid w:val="001902AE"/>
    <w:rsid w:val="001C274C"/>
    <w:rsid w:val="001D7D2D"/>
    <w:rsid w:val="003D216A"/>
    <w:rsid w:val="0049343E"/>
    <w:rsid w:val="004D540A"/>
    <w:rsid w:val="005010A7"/>
    <w:rsid w:val="006D4594"/>
    <w:rsid w:val="0072628A"/>
    <w:rsid w:val="00743310"/>
    <w:rsid w:val="00745529"/>
    <w:rsid w:val="007B2175"/>
    <w:rsid w:val="007C3C21"/>
    <w:rsid w:val="007C5185"/>
    <w:rsid w:val="008604E9"/>
    <w:rsid w:val="00957C0C"/>
    <w:rsid w:val="0097772D"/>
    <w:rsid w:val="00997DA9"/>
    <w:rsid w:val="009B06EA"/>
    <w:rsid w:val="00AF441C"/>
    <w:rsid w:val="00B16F04"/>
    <w:rsid w:val="00B53377"/>
    <w:rsid w:val="00C722D1"/>
    <w:rsid w:val="00D05363"/>
    <w:rsid w:val="00D15C53"/>
    <w:rsid w:val="00D5491F"/>
    <w:rsid w:val="00D67B50"/>
    <w:rsid w:val="00D749CD"/>
    <w:rsid w:val="00D76CFA"/>
    <w:rsid w:val="00E83BC4"/>
    <w:rsid w:val="00F43D5D"/>
    <w:rsid w:val="00F86F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6A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5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311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5F0E"/>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C5F0E"/>
    <w:pPr>
      <w:ind w:left="720"/>
      <w:contextualSpacing/>
    </w:pPr>
  </w:style>
  <w:style w:type="paragraph" w:customStyle="1" w:styleId="Default">
    <w:name w:val="Default"/>
    <w:rsid w:val="00D749CD"/>
    <w:pPr>
      <w:autoSpaceDE w:val="0"/>
      <w:autoSpaceDN w:val="0"/>
      <w:adjustRightInd w:val="0"/>
      <w:spacing w:after="0" w:line="240" w:lineRule="auto"/>
    </w:pPr>
    <w:rPr>
      <w:rFonts w:ascii="Bembo" w:hAnsi="Bembo" w:cs="Bembo"/>
      <w:color w:val="000000"/>
      <w:sz w:val="24"/>
      <w:szCs w:val="24"/>
    </w:rPr>
  </w:style>
  <w:style w:type="character" w:customStyle="1" w:styleId="20">
    <w:name w:val="見出し 2 (文字)"/>
    <w:basedOn w:val="a0"/>
    <w:link w:val="2"/>
    <w:uiPriority w:val="9"/>
    <w:rsid w:val="000311CD"/>
    <w:rPr>
      <w:rFonts w:asciiTheme="majorHAnsi" w:eastAsiaTheme="majorEastAsia" w:hAnsiTheme="majorHAnsi" w:cstheme="majorBidi"/>
      <w:color w:val="2F5496" w:themeColor="accent1" w:themeShade="BF"/>
      <w:sz w:val="26"/>
      <w:szCs w:val="26"/>
    </w:rPr>
  </w:style>
  <w:style w:type="paragraph" w:styleId="a4">
    <w:name w:val="header"/>
    <w:basedOn w:val="a"/>
    <w:link w:val="a5"/>
    <w:uiPriority w:val="99"/>
    <w:unhideWhenUsed/>
    <w:rsid w:val="00D05363"/>
    <w:pPr>
      <w:tabs>
        <w:tab w:val="center" w:pos="4513"/>
        <w:tab w:val="right" w:pos="9026"/>
      </w:tabs>
      <w:spacing w:after="0" w:line="240" w:lineRule="auto"/>
    </w:pPr>
  </w:style>
  <w:style w:type="character" w:customStyle="1" w:styleId="a5">
    <w:name w:val="ヘッダー (文字)"/>
    <w:basedOn w:val="a0"/>
    <w:link w:val="a4"/>
    <w:uiPriority w:val="99"/>
    <w:rsid w:val="00D05363"/>
  </w:style>
  <w:style w:type="paragraph" w:styleId="a6">
    <w:name w:val="footer"/>
    <w:basedOn w:val="a"/>
    <w:link w:val="a7"/>
    <w:uiPriority w:val="99"/>
    <w:unhideWhenUsed/>
    <w:rsid w:val="00D05363"/>
    <w:pPr>
      <w:tabs>
        <w:tab w:val="center" w:pos="4513"/>
        <w:tab w:val="right" w:pos="9026"/>
      </w:tabs>
      <w:spacing w:after="0" w:line="240" w:lineRule="auto"/>
    </w:pPr>
  </w:style>
  <w:style w:type="character" w:customStyle="1" w:styleId="a7">
    <w:name w:val="フッター (文字)"/>
    <w:basedOn w:val="a0"/>
    <w:link w:val="a6"/>
    <w:uiPriority w:val="99"/>
    <w:rsid w:val="00D05363"/>
  </w:style>
  <w:style w:type="character" w:styleId="a8">
    <w:name w:val="annotation reference"/>
    <w:basedOn w:val="a0"/>
    <w:uiPriority w:val="99"/>
    <w:semiHidden/>
    <w:unhideWhenUsed/>
    <w:rsid w:val="00D67B50"/>
    <w:rPr>
      <w:sz w:val="16"/>
      <w:szCs w:val="16"/>
    </w:rPr>
  </w:style>
  <w:style w:type="paragraph" w:styleId="a9">
    <w:name w:val="annotation text"/>
    <w:basedOn w:val="a"/>
    <w:link w:val="aa"/>
    <w:uiPriority w:val="99"/>
    <w:semiHidden/>
    <w:unhideWhenUsed/>
    <w:rsid w:val="00D67B50"/>
    <w:pPr>
      <w:spacing w:line="240" w:lineRule="auto"/>
    </w:pPr>
    <w:rPr>
      <w:sz w:val="20"/>
      <w:szCs w:val="20"/>
    </w:rPr>
  </w:style>
  <w:style w:type="character" w:customStyle="1" w:styleId="aa">
    <w:name w:val="コメント文字列 (文字)"/>
    <w:basedOn w:val="a0"/>
    <w:link w:val="a9"/>
    <w:uiPriority w:val="99"/>
    <w:semiHidden/>
    <w:rsid w:val="00D67B50"/>
    <w:rPr>
      <w:sz w:val="20"/>
      <w:szCs w:val="20"/>
    </w:rPr>
  </w:style>
  <w:style w:type="paragraph" w:styleId="ab">
    <w:name w:val="annotation subject"/>
    <w:basedOn w:val="a9"/>
    <w:next w:val="a9"/>
    <w:link w:val="ac"/>
    <w:uiPriority w:val="99"/>
    <w:semiHidden/>
    <w:unhideWhenUsed/>
    <w:rsid w:val="00D67B50"/>
    <w:rPr>
      <w:b/>
      <w:bCs/>
    </w:rPr>
  </w:style>
  <w:style w:type="character" w:customStyle="1" w:styleId="ac">
    <w:name w:val="コメント内容 (文字)"/>
    <w:basedOn w:val="aa"/>
    <w:link w:val="ab"/>
    <w:uiPriority w:val="99"/>
    <w:semiHidden/>
    <w:rsid w:val="00D67B50"/>
    <w:rPr>
      <w:b/>
      <w:bCs/>
      <w:sz w:val="20"/>
      <w:szCs w:val="20"/>
    </w:rPr>
  </w:style>
  <w:style w:type="paragraph" w:styleId="ad">
    <w:name w:val="Balloon Text"/>
    <w:basedOn w:val="a"/>
    <w:link w:val="ae"/>
    <w:uiPriority w:val="99"/>
    <w:semiHidden/>
    <w:unhideWhenUsed/>
    <w:rsid w:val="00D67B50"/>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D67B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5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311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5F0E"/>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C5F0E"/>
    <w:pPr>
      <w:ind w:left="720"/>
      <w:contextualSpacing/>
    </w:pPr>
  </w:style>
  <w:style w:type="paragraph" w:customStyle="1" w:styleId="Default">
    <w:name w:val="Default"/>
    <w:rsid w:val="00D749CD"/>
    <w:pPr>
      <w:autoSpaceDE w:val="0"/>
      <w:autoSpaceDN w:val="0"/>
      <w:adjustRightInd w:val="0"/>
      <w:spacing w:after="0" w:line="240" w:lineRule="auto"/>
    </w:pPr>
    <w:rPr>
      <w:rFonts w:ascii="Bembo" w:hAnsi="Bembo" w:cs="Bembo"/>
      <w:color w:val="000000"/>
      <w:sz w:val="24"/>
      <w:szCs w:val="24"/>
    </w:rPr>
  </w:style>
  <w:style w:type="character" w:customStyle="1" w:styleId="20">
    <w:name w:val="見出し 2 (文字)"/>
    <w:basedOn w:val="a0"/>
    <w:link w:val="2"/>
    <w:uiPriority w:val="9"/>
    <w:rsid w:val="000311CD"/>
    <w:rPr>
      <w:rFonts w:asciiTheme="majorHAnsi" w:eastAsiaTheme="majorEastAsia" w:hAnsiTheme="majorHAnsi" w:cstheme="majorBidi"/>
      <w:color w:val="2F5496" w:themeColor="accent1" w:themeShade="BF"/>
      <w:sz w:val="26"/>
      <w:szCs w:val="26"/>
    </w:rPr>
  </w:style>
  <w:style w:type="paragraph" w:styleId="a4">
    <w:name w:val="header"/>
    <w:basedOn w:val="a"/>
    <w:link w:val="a5"/>
    <w:uiPriority w:val="99"/>
    <w:unhideWhenUsed/>
    <w:rsid w:val="00D05363"/>
    <w:pPr>
      <w:tabs>
        <w:tab w:val="center" w:pos="4513"/>
        <w:tab w:val="right" w:pos="9026"/>
      </w:tabs>
      <w:spacing w:after="0" w:line="240" w:lineRule="auto"/>
    </w:pPr>
  </w:style>
  <w:style w:type="character" w:customStyle="1" w:styleId="a5">
    <w:name w:val="ヘッダー (文字)"/>
    <w:basedOn w:val="a0"/>
    <w:link w:val="a4"/>
    <w:uiPriority w:val="99"/>
    <w:rsid w:val="00D05363"/>
  </w:style>
  <w:style w:type="paragraph" w:styleId="a6">
    <w:name w:val="footer"/>
    <w:basedOn w:val="a"/>
    <w:link w:val="a7"/>
    <w:uiPriority w:val="99"/>
    <w:unhideWhenUsed/>
    <w:rsid w:val="00D05363"/>
    <w:pPr>
      <w:tabs>
        <w:tab w:val="center" w:pos="4513"/>
        <w:tab w:val="right" w:pos="9026"/>
      </w:tabs>
      <w:spacing w:after="0" w:line="240" w:lineRule="auto"/>
    </w:pPr>
  </w:style>
  <w:style w:type="character" w:customStyle="1" w:styleId="a7">
    <w:name w:val="フッター (文字)"/>
    <w:basedOn w:val="a0"/>
    <w:link w:val="a6"/>
    <w:uiPriority w:val="99"/>
    <w:rsid w:val="00D05363"/>
  </w:style>
  <w:style w:type="character" w:styleId="a8">
    <w:name w:val="annotation reference"/>
    <w:basedOn w:val="a0"/>
    <w:uiPriority w:val="99"/>
    <w:semiHidden/>
    <w:unhideWhenUsed/>
    <w:rsid w:val="00D67B50"/>
    <w:rPr>
      <w:sz w:val="16"/>
      <w:szCs w:val="16"/>
    </w:rPr>
  </w:style>
  <w:style w:type="paragraph" w:styleId="a9">
    <w:name w:val="annotation text"/>
    <w:basedOn w:val="a"/>
    <w:link w:val="aa"/>
    <w:uiPriority w:val="99"/>
    <w:semiHidden/>
    <w:unhideWhenUsed/>
    <w:rsid w:val="00D67B50"/>
    <w:pPr>
      <w:spacing w:line="240" w:lineRule="auto"/>
    </w:pPr>
    <w:rPr>
      <w:sz w:val="20"/>
      <w:szCs w:val="20"/>
    </w:rPr>
  </w:style>
  <w:style w:type="character" w:customStyle="1" w:styleId="aa">
    <w:name w:val="コメント文字列 (文字)"/>
    <w:basedOn w:val="a0"/>
    <w:link w:val="a9"/>
    <w:uiPriority w:val="99"/>
    <w:semiHidden/>
    <w:rsid w:val="00D67B50"/>
    <w:rPr>
      <w:sz w:val="20"/>
      <w:szCs w:val="20"/>
    </w:rPr>
  </w:style>
  <w:style w:type="paragraph" w:styleId="ab">
    <w:name w:val="annotation subject"/>
    <w:basedOn w:val="a9"/>
    <w:next w:val="a9"/>
    <w:link w:val="ac"/>
    <w:uiPriority w:val="99"/>
    <w:semiHidden/>
    <w:unhideWhenUsed/>
    <w:rsid w:val="00D67B50"/>
    <w:rPr>
      <w:b/>
      <w:bCs/>
    </w:rPr>
  </w:style>
  <w:style w:type="character" w:customStyle="1" w:styleId="ac">
    <w:name w:val="コメント内容 (文字)"/>
    <w:basedOn w:val="aa"/>
    <w:link w:val="ab"/>
    <w:uiPriority w:val="99"/>
    <w:semiHidden/>
    <w:rsid w:val="00D67B50"/>
    <w:rPr>
      <w:b/>
      <w:bCs/>
      <w:sz w:val="20"/>
      <w:szCs w:val="20"/>
    </w:rPr>
  </w:style>
  <w:style w:type="paragraph" w:styleId="ad">
    <w:name w:val="Balloon Text"/>
    <w:basedOn w:val="a"/>
    <w:link w:val="ae"/>
    <w:uiPriority w:val="99"/>
    <w:semiHidden/>
    <w:unhideWhenUsed/>
    <w:rsid w:val="00D67B50"/>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D67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4EB5-30CF-474F-872E-EE02DF5C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918</Words>
  <Characters>5233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Van Der eijk</dc:creator>
  <cp:lastModifiedBy>片桐　絵梨子</cp:lastModifiedBy>
  <cp:revision>6</cp:revision>
  <cp:lastPrinted>2018-09-27T02:44:00Z</cp:lastPrinted>
  <dcterms:created xsi:type="dcterms:W3CDTF">2018-09-26T02:51:00Z</dcterms:created>
  <dcterms:modified xsi:type="dcterms:W3CDTF">2018-09-27T02:57:00Z</dcterms:modified>
</cp:coreProperties>
</file>