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1B104478-2308-4E2C-BE78-C2DD71F67F0C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